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4CC" w:rsidRDefault="0001090A">
      <w:pPr>
        <w:spacing w:after="0"/>
        <w:ind w:left="10" w:right="616" w:hanging="10"/>
        <w:jc w:val="right"/>
      </w:pPr>
      <w:r>
        <w:rPr>
          <w:rFonts w:ascii="Californian FB" w:eastAsia="Californian FB" w:hAnsi="Californian FB" w:cs="Californian FB"/>
          <w:b/>
          <w:sz w:val="28"/>
        </w:rPr>
        <w:t xml:space="preserve">Alla PROCURA REGIONALE  </w:t>
      </w:r>
    </w:p>
    <w:p w:rsidR="001824CC" w:rsidRDefault="0001090A">
      <w:pPr>
        <w:spacing w:after="0"/>
        <w:ind w:left="10" w:right="616" w:hanging="10"/>
        <w:jc w:val="right"/>
      </w:pPr>
      <w:r>
        <w:rPr>
          <w:rFonts w:ascii="Californian FB" w:eastAsia="Californian FB" w:hAnsi="Californian FB" w:cs="Californian FB"/>
          <w:b/>
          <w:sz w:val="28"/>
        </w:rPr>
        <w:t xml:space="preserve">presso la SEZIONE GIURISDIZIONALE per la CAMPANIA </w:t>
      </w:r>
    </w:p>
    <w:p w:rsidR="001824CC" w:rsidRDefault="0001090A">
      <w:pPr>
        <w:spacing w:after="0"/>
        <w:ind w:left="10" w:right="616" w:hanging="10"/>
        <w:jc w:val="right"/>
      </w:pPr>
      <w:r>
        <w:rPr>
          <w:rFonts w:ascii="Californian FB" w:eastAsia="Californian FB" w:hAnsi="Californian FB" w:cs="Californian FB"/>
          <w:b/>
          <w:sz w:val="28"/>
        </w:rPr>
        <w:t xml:space="preserve">   CORTE dei CONTI   </w:t>
      </w:r>
    </w:p>
    <w:p w:rsidR="001824CC" w:rsidRDefault="0001090A">
      <w:pPr>
        <w:spacing w:after="3" w:line="236" w:lineRule="auto"/>
        <w:ind w:left="8377" w:right="620" w:hanging="554"/>
        <w:jc w:val="both"/>
      </w:pPr>
      <w:r>
        <w:rPr>
          <w:rFonts w:ascii="Californian FB" w:eastAsia="Californian FB" w:hAnsi="Californian FB" w:cs="Californian FB"/>
          <w:sz w:val="28"/>
        </w:rPr>
        <w:t xml:space="preserve">Via Piedigrotta, 63  80122 Napoli  </w:t>
      </w:r>
    </w:p>
    <w:p w:rsidR="001824CC" w:rsidRDefault="0001090A">
      <w:pPr>
        <w:spacing w:after="0"/>
        <w:ind w:left="10" w:right="616" w:hanging="10"/>
        <w:jc w:val="right"/>
      </w:pPr>
      <w:r>
        <w:rPr>
          <w:rFonts w:ascii="Californian FB" w:eastAsia="Californian FB" w:hAnsi="Californian FB" w:cs="Californian FB"/>
          <w:sz w:val="28"/>
        </w:rPr>
        <w:t xml:space="preserve">per il tramite della Guardia di Finanza di Caserta </w:t>
      </w:r>
    </w:p>
    <w:p w:rsidR="001824CC" w:rsidRDefault="0001090A">
      <w:pPr>
        <w:spacing w:after="0"/>
        <w:ind w:left="10" w:right="616" w:hanging="10"/>
        <w:jc w:val="right"/>
      </w:pPr>
      <w:r>
        <w:rPr>
          <w:rFonts w:ascii="Californian FB" w:eastAsia="Californian FB" w:hAnsi="Californian FB" w:cs="Californian FB"/>
          <w:sz w:val="28"/>
        </w:rPr>
        <w:t xml:space="preserve">Sezione Spesa Pubblica Nucleo PT </w:t>
      </w:r>
    </w:p>
    <w:p w:rsidR="001824CC" w:rsidRDefault="0001090A">
      <w:pPr>
        <w:spacing w:after="11" w:line="248" w:lineRule="auto"/>
        <w:ind w:left="5298" w:right="112" w:firstLine="4626"/>
      </w:pPr>
      <w:r>
        <w:rPr>
          <w:rFonts w:ascii="Californian FB" w:eastAsia="Californian FB" w:hAnsi="Californian FB" w:cs="Californian FB"/>
          <w:sz w:val="28"/>
        </w:rPr>
        <w:t xml:space="preserve"> Alla </w:t>
      </w:r>
      <w:r>
        <w:rPr>
          <w:rFonts w:ascii="Californian FB" w:eastAsia="Californian FB" w:hAnsi="Californian FB" w:cs="Californian FB"/>
          <w:b/>
          <w:sz w:val="28"/>
        </w:rPr>
        <w:t>PROCURA DELLA REPUBBLICA</w:t>
      </w:r>
      <w:r>
        <w:rPr>
          <w:rFonts w:ascii="Californian FB" w:eastAsia="Californian FB" w:hAnsi="Californian FB" w:cs="Californian FB"/>
          <w:sz w:val="28"/>
        </w:rPr>
        <w:t xml:space="preserve">  </w:t>
      </w:r>
      <w:r>
        <w:rPr>
          <w:rFonts w:ascii="Californian FB" w:eastAsia="Californian FB" w:hAnsi="Californian FB" w:cs="Californian FB"/>
          <w:sz w:val="28"/>
        </w:rPr>
        <w:t xml:space="preserve">presso il Tribunale di S. Maria C.V. </w:t>
      </w:r>
    </w:p>
    <w:p w:rsidR="001824CC" w:rsidRDefault="0001090A">
      <w:pPr>
        <w:spacing w:after="0"/>
        <w:ind w:left="10" w:right="616" w:hanging="10"/>
        <w:jc w:val="right"/>
      </w:pPr>
      <w:r>
        <w:rPr>
          <w:rFonts w:ascii="Californian FB" w:eastAsia="Californian FB" w:hAnsi="Californian FB" w:cs="Californian FB"/>
          <w:sz w:val="28"/>
        </w:rPr>
        <w:t xml:space="preserve">per il tramite della Guardia di Finanza di Caserta </w:t>
      </w:r>
    </w:p>
    <w:p w:rsidR="001824CC" w:rsidRDefault="0001090A">
      <w:pPr>
        <w:spacing w:after="154"/>
        <w:ind w:right="569"/>
        <w:jc w:val="right"/>
      </w:pPr>
      <w:r>
        <w:rPr>
          <w:rFonts w:ascii="Californian FB" w:eastAsia="Californian FB" w:hAnsi="Californian FB" w:cs="Californian FB"/>
          <w:sz w:val="28"/>
        </w:rPr>
        <w:t xml:space="preserve"> </w:t>
      </w:r>
    </w:p>
    <w:p w:rsidR="001824CC" w:rsidRDefault="0001090A">
      <w:pPr>
        <w:spacing w:after="127"/>
        <w:ind w:right="449"/>
        <w:jc w:val="right"/>
      </w:pPr>
      <w:r>
        <w:rPr>
          <w:rFonts w:ascii="Californian FB" w:eastAsia="Californian FB" w:hAnsi="Californian FB" w:cs="Californian FB"/>
          <w:sz w:val="28"/>
        </w:rPr>
        <w:t xml:space="preserve">   </w:t>
      </w:r>
    </w:p>
    <w:p w:rsidR="001824CC" w:rsidRDefault="0001090A">
      <w:pPr>
        <w:spacing w:after="4"/>
        <w:ind w:right="569"/>
        <w:jc w:val="right"/>
      </w:pPr>
      <w:r>
        <w:rPr>
          <w:rFonts w:ascii="Times New Roman" w:eastAsia="Times New Roman" w:hAnsi="Times New Roman" w:cs="Times New Roman"/>
          <w:sz w:val="24"/>
        </w:rPr>
        <w:t xml:space="preserve"> </w:t>
      </w:r>
    </w:p>
    <w:p w:rsidR="001824CC" w:rsidRDefault="0001090A">
      <w:pPr>
        <w:spacing w:after="130"/>
        <w:ind w:left="278" w:right="620" w:hanging="10"/>
        <w:jc w:val="both"/>
      </w:pPr>
      <w:r>
        <w:rPr>
          <w:rFonts w:ascii="Californian FB" w:eastAsia="Californian FB" w:hAnsi="Californian FB" w:cs="Californian FB"/>
          <w:sz w:val="28"/>
        </w:rPr>
        <w:t xml:space="preserve">Oggetto: Comune di Marcianise – rimborsi ex artt. 79 e 80 D.Lgs. – sindaco - danno </w:t>
      </w:r>
    </w:p>
    <w:p w:rsidR="001824CC" w:rsidRDefault="0001090A">
      <w:pPr>
        <w:spacing w:after="3" w:line="356" w:lineRule="auto"/>
        <w:ind w:left="1426" w:right="620" w:hanging="10"/>
        <w:jc w:val="both"/>
      </w:pPr>
      <w:r>
        <w:rPr>
          <w:rFonts w:ascii="Californian FB" w:eastAsia="Californian FB" w:hAnsi="Californian FB" w:cs="Californian FB"/>
          <w:sz w:val="28"/>
        </w:rPr>
        <w:t>erariale in danno del Comune di Marcianise per un ammontare di € 200.000 c</w:t>
      </w:r>
      <w:r>
        <w:rPr>
          <w:rFonts w:ascii="Californian FB" w:eastAsia="Californian FB" w:hAnsi="Californian FB" w:cs="Californian FB"/>
          <w:sz w:val="28"/>
        </w:rPr>
        <w:t xml:space="preserve">irca – esposto/denuncia - </w:t>
      </w:r>
    </w:p>
    <w:p w:rsidR="001824CC" w:rsidRDefault="0001090A">
      <w:pPr>
        <w:spacing w:after="130"/>
        <w:ind w:left="283"/>
      </w:pPr>
      <w:r>
        <w:rPr>
          <w:rFonts w:ascii="Californian FB" w:eastAsia="Californian FB" w:hAnsi="Californian FB" w:cs="Californian FB"/>
          <w:sz w:val="28"/>
        </w:rPr>
        <w:t xml:space="preserve"> </w:t>
      </w:r>
    </w:p>
    <w:p w:rsidR="001824CC" w:rsidRDefault="0001090A">
      <w:pPr>
        <w:spacing w:after="3" w:line="356" w:lineRule="auto"/>
        <w:ind w:left="278" w:right="620" w:hanging="10"/>
        <w:jc w:val="both"/>
      </w:pPr>
      <w:r>
        <w:rPr>
          <w:rFonts w:ascii="Californian FB" w:eastAsia="Californian FB" w:hAnsi="Californian FB" w:cs="Californian FB"/>
          <w:sz w:val="28"/>
        </w:rPr>
        <w:t xml:space="preserve">I sottoscritti consiglieri comunali del Comune di Marcianise, </w:t>
      </w:r>
      <w:r>
        <w:rPr>
          <w:rFonts w:ascii="Californian FB" w:eastAsia="Californian FB" w:hAnsi="Californian FB" w:cs="Californian FB"/>
          <w:sz w:val="28"/>
        </w:rPr>
        <w:t>con il presente atto intendono sottoporre all’attenzione delle Autorità in intestazione il probabile danno erariale derivante dal pagamento che il Comune di Marcianise effettua in favore de “IL MATTINO s.p.a”  a titolo di rimborso dei permessi retribuiti c</w:t>
      </w:r>
      <w:r>
        <w:rPr>
          <w:rFonts w:ascii="Californian FB" w:eastAsia="Californian FB" w:hAnsi="Californian FB" w:cs="Californian FB"/>
          <w:sz w:val="28"/>
        </w:rPr>
        <w:t xml:space="preserve">hiesti ed ottenuti, quanto meno dal gennaio 2017 ad oggi,  dal sindaco di Marcianise p.t., Antonello Velardi, in violazione di quanto previsto dagli artt. 79 e 80 del Decreto Legislativo n.267/2000.  </w:t>
      </w:r>
    </w:p>
    <w:p w:rsidR="001824CC" w:rsidRDefault="0001090A">
      <w:pPr>
        <w:pStyle w:val="Titolo1"/>
        <w:ind w:left="152" w:hanging="152"/>
      </w:pPr>
      <w:r>
        <w:t>FATTI</w:t>
      </w:r>
      <w:r>
        <w:rPr>
          <w:shd w:val="clear" w:color="auto" w:fill="auto"/>
        </w:rPr>
        <w:t xml:space="preserve"> </w:t>
      </w:r>
    </w:p>
    <w:p w:rsidR="001824CC" w:rsidRDefault="0001090A">
      <w:pPr>
        <w:numPr>
          <w:ilvl w:val="0"/>
          <w:numId w:val="1"/>
        </w:numPr>
        <w:spacing w:after="45" w:line="356" w:lineRule="auto"/>
        <w:ind w:left="628" w:right="620" w:hanging="360"/>
        <w:jc w:val="both"/>
      </w:pPr>
      <w:r>
        <w:rPr>
          <w:rFonts w:ascii="Californian FB" w:eastAsia="Californian FB" w:hAnsi="Californian FB" w:cs="Californian FB"/>
          <w:sz w:val="28"/>
        </w:rPr>
        <w:t>Il sindaco di Marcianise, Antonello Velardi, è d</w:t>
      </w:r>
      <w:r>
        <w:rPr>
          <w:rFonts w:ascii="Californian FB" w:eastAsia="Californian FB" w:hAnsi="Californian FB" w:cs="Californian FB"/>
          <w:sz w:val="28"/>
        </w:rPr>
        <w:t xml:space="preserve">ipendente della società Il Mattino s.p.a. in qualità di capo redattore centrale,  con uno stipendio lordo mensile di € 14.065,06, e, in tale veste, dalla data di elezione avvenuta nel giugno 2016, usufruisce dei permessi retribuiti previsti dagli artt. 79 </w:t>
      </w:r>
      <w:r>
        <w:rPr>
          <w:rFonts w:ascii="Californian FB" w:eastAsia="Californian FB" w:hAnsi="Californian FB" w:cs="Californian FB"/>
          <w:sz w:val="28"/>
        </w:rPr>
        <w:t xml:space="preserve">e 80 del Decreto Legislativo 26/2000 per un ammontare medio di circa 8.000,00 mensili (cfr. determine di liquidazione).  </w:t>
      </w:r>
    </w:p>
    <w:p w:rsidR="001824CC" w:rsidRDefault="0001090A">
      <w:pPr>
        <w:numPr>
          <w:ilvl w:val="0"/>
          <w:numId w:val="1"/>
        </w:numPr>
        <w:spacing w:after="94" w:line="356" w:lineRule="auto"/>
        <w:ind w:left="628" w:right="620" w:hanging="360"/>
        <w:jc w:val="both"/>
      </w:pPr>
      <w:r>
        <w:rPr>
          <w:rFonts w:ascii="Californian FB" w:eastAsia="Californian FB" w:hAnsi="Californian FB" w:cs="Californian FB"/>
          <w:sz w:val="28"/>
        </w:rPr>
        <w:lastRenderedPageBreak/>
        <w:t>Il versamento di tale somma da parte del Comune di Marcianise avviene, con cadenza mensile, a seguito di richiesta effettuata dalla So</w:t>
      </w:r>
      <w:r>
        <w:rPr>
          <w:rFonts w:ascii="Californian FB" w:eastAsia="Californian FB" w:hAnsi="Californian FB" w:cs="Californian FB"/>
          <w:sz w:val="28"/>
        </w:rPr>
        <w:t xml:space="preserve">cietà datrice  di lavoro come si rileva dall’immagine che segue: </w:t>
      </w:r>
    </w:p>
    <w:p w:rsidR="001824CC" w:rsidRDefault="0001090A">
      <w:pPr>
        <w:spacing w:after="100"/>
        <w:ind w:right="286"/>
        <w:jc w:val="center"/>
      </w:pPr>
      <w:r>
        <w:rPr>
          <w:noProof/>
        </w:rPr>
        <w:drawing>
          <wp:inline distT="0" distB="0" distL="0" distR="0">
            <wp:extent cx="3604260" cy="5064252"/>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7"/>
                    <a:stretch>
                      <a:fillRect/>
                    </a:stretch>
                  </pic:blipFill>
                  <pic:spPr>
                    <a:xfrm>
                      <a:off x="0" y="0"/>
                      <a:ext cx="3604260" cy="5064252"/>
                    </a:xfrm>
                    <a:prstGeom prst="rect">
                      <a:avLst/>
                    </a:prstGeom>
                  </pic:spPr>
                </pic:pic>
              </a:graphicData>
            </a:graphic>
          </wp:inline>
        </w:drawing>
      </w:r>
      <w:r>
        <w:rPr>
          <w:rFonts w:ascii="Californian FB" w:eastAsia="Californian FB" w:hAnsi="Californian FB" w:cs="Californian FB"/>
          <w:sz w:val="28"/>
        </w:rPr>
        <w:t xml:space="preserve"> </w:t>
      </w:r>
    </w:p>
    <w:p w:rsidR="001824CC" w:rsidRDefault="0001090A">
      <w:pPr>
        <w:numPr>
          <w:ilvl w:val="0"/>
          <w:numId w:val="1"/>
        </w:numPr>
        <w:spacing w:after="40" w:line="343" w:lineRule="auto"/>
        <w:ind w:left="628" w:right="620" w:hanging="360"/>
        <w:jc w:val="both"/>
      </w:pPr>
      <w:r>
        <w:rPr>
          <w:rFonts w:ascii="Californian FB" w:eastAsia="Californian FB" w:hAnsi="Californian FB" w:cs="Californian FB"/>
          <w:sz w:val="28"/>
        </w:rPr>
        <w:t>E parere degli scriventi che il pagamento di tali ingenti somme avvenga in violazione di quanto previsto dal 6° comma dell’art. 79 del citato D.Lgs. 276/2000 a norma del quale “</w:t>
      </w:r>
      <w:r>
        <w:rPr>
          <w:rFonts w:ascii="Californian FB" w:eastAsia="Californian FB" w:hAnsi="Californian FB" w:cs="Californian FB"/>
          <w:b/>
          <w:sz w:val="30"/>
        </w:rPr>
        <w:t>l’attività</w:t>
      </w:r>
      <w:r>
        <w:rPr>
          <w:rFonts w:ascii="Californian FB" w:eastAsia="Californian FB" w:hAnsi="Californian FB" w:cs="Californian FB"/>
          <w:b/>
          <w:sz w:val="30"/>
        </w:rPr>
        <w:t xml:space="preserve"> ed i tempi di espletamento del mandato per i quali i lavoratori chiedono ed ottengono permessi, retribuiti e non retribuiti, devono essere prontamente e puntualmente documentati mediante attestazione dell’ente</w:t>
      </w:r>
      <w:r>
        <w:rPr>
          <w:rFonts w:ascii="Californian FB" w:eastAsia="Californian FB" w:hAnsi="Californian FB" w:cs="Californian FB"/>
          <w:sz w:val="28"/>
        </w:rPr>
        <w:t xml:space="preserve">”.    </w:t>
      </w:r>
    </w:p>
    <w:p w:rsidR="001824CC" w:rsidRDefault="0001090A">
      <w:pPr>
        <w:numPr>
          <w:ilvl w:val="0"/>
          <w:numId w:val="1"/>
        </w:numPr>
        <w:spacing w:after="3" w:line="356" w:lineRule="auto"/>
        <w:ind w:left="628" w:right="620" w:hanging="360"/>
        <w:jc w:val="both"/>
      </w:pPr>
      <w:r>
        <w:rPr>
          <w:rFonts w:ascii="Californian FB" w:eastAsia="Californian FB" w:hAnsi="Californian FB" w:cs="Californian FB"/>
          <w:sz w:val="28"/>
        </w:rPr>
        <w:t>Sta di fatto che, in evidente violazion</w:t>
      </w:r>
      <w:r>
        <w:rPr>
          <w:rFonts w:ascii="Californian FB" w:eastAsia="Californian FB" w:hAnsi="Californian FB" w:cs="Californian FB"/>
          <w:sz w:val="28"/>
        </w:rPr>
        <w:t xml:space="preserve">e di tale ultima di disposizione,  il pagamento dei rimborsi in favore de Il Mattino s.p.a. avviene mensilmente all’esito di rilascio </w:t>
      </w:r>
      <w:r>
        <w:rPr>
          <w:rFonts w:ascii="Californian FB" w:eastAsia="Californian FB" w:hAnsi="Californian FB" w:cs="Californian FB"/>
          <w:sz w:val="28"/>
        </w:rPr>
        <w:lastRenderedPageBreak/>
        <w:t>da parte del segretario generale del Comune dell’attestazione generica e indeterminata che appare nell’immagine che segue:</w:t>
      </w:r>
      <w:r>
        <w:rPr>
          <w:rFonts w:ascii="Californian FB" w:eastAsia="Californian FB" w:hAnsi="Californian FB" w:cs="Californian FB"/>
          <w:sz w:val="28"/>
        </w:rPr>
        <w:t xml:space="preserve">  </w:t>
      </w:r>
    </w:p>
    <w:p w:rsidR="001824CC" w:rsidRDefault="0001090A">
      <w:pPr>
        <w:spacing w:after="34"/>
        <w:ind w:right="934"/>
        <w:jc w:val="right"/>
      </w:pPr>
      <w:r>
        <w:rPr>
          <w:noProof/>
        </w:rPr>
        <w:drawing>
          <wp:inline distT="0" distB="0" distL="0" distR="0">
            <wp:extent cx="5658612" cy="6135624"/>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8"/>
                    <a:stretch>
                      <a:fillRect/>
                    </a:stretch>
                  </pic:blipFill>
                  <pic:spPr>
                    <a:xfrm>
                      <a:off x="0" y="0"/>
                      <a:ext cx="5658612" cy="6135624"/>
                    </a:xfrm>
                    <a:prstGeom prst="rect">
                      <a:avLst/>
                    </a:prstGeom>
                  </pic:spPr>
                </pic:pic>
              </a:graphicData>
            </a:graphic>
          </wp:inline>
        </w:drawing>
      </w:r>
      <w:r>
        <w:rPr>
          <w:rFonts w:ascii="Californian FB" w:eastAsia="Californian FB" w:hAnsi="Californian FB" w:cs="Californian FB"/>
          <w:sz w:val="28"/>
        </w:rPr>
        <w:t xml:space="preserve"> </w:t>
      </w:r>
    </w:p>
    <w:p w:rsidR="001824CC" w:rsidRDefault="0001090A">
      <w:pPr>
        <w:spacing w:after="174"/>
        <w:ind w:left="283"/>
      </w:pPr>
      <w:r>
        <w:rPr>
          <w:rFonts w:ascii="Californian FB" w:eastAsia="Californian FB" w:hAnsi="Californian FB" w:cs="Californian FB"/>
          <w:sz w:val="28"/>
        </w:rPr>
        <w:t xml:space="preserve"> </w:t>
      </w:r>
    </w:p>
    <w:p w:rsidR="001824CC" w:rsidRDefault="0001090A">
      <w:pPr>
        <w:numPr>
          <w:ilvl w:val="0"/>
          <w:numId w:val="1"/>
        </w:numPr>
        <w:spacing w:after="45" w:line="356" w:lineRule="auto"/>
        <w:ind w:left="628" w:right="620" w:hanging="360"/>
        <w:jc w:val="both"/>
      </w:pPr>
      <w:r>
        <w:rPr>
          <w:rFonts w:ascii="Californian FB" w:eastAsia="Californian FB" w:hAnsi="Californian FB" w:cs="Californian FB"/>
          <w:sz w:val="28"/>
        </w:rPr>
        <w:t>Tale attestazione, infatti, non consente di individuare, come imposto dalla legge, le effettive attività e i tempi di espletamento delle funzioni rientranti nel mandato del sindaco né consente di verificare la effettiva coincidenza tra l’arco temporale del</w:t>
      </w:r>
      <w:r>
        <w:rPr>
          <w:rFonts w:ascii="Californian FB" w:eastAsia="Californian FB" w:hAnsi="Californian FB" w:cs="Californian FB"/>
          <w:sz w:val="28"/>
        </w:rPr>
        <w:t xml:space="preserve">la prestazione lavorativa per il quale si è chiesto il permesso e la collocazione temporale della funzione espletata.   </w:t>
      </w:r>
    </w:p>
    <w:p w:rsidR="001824CC" w:rsidRDefault="0001090A">
      <w:pPr>
        <w:numPr>
          <w:ilvl w:val="0"/>
          <w:numId w:val="1"/>
        </w:numPr>
        <w:spacing w:after="3" w:line="356" w:lineRule="auto"/>
        <w:ind w:left="628" w:right="620" w:hanging="360"/>
        <w:jc w:val="both"/>
      </w:pPr>
      <w:r>
        <w:rPr>
          <w:rFonts w:ascii="Californian FB" w:eastAsia="Californian FB" w:hAnsi="Californian FB" w:cs="Californian FB"/>
          <w:sz w:val="28"/>
        </w:rPr>
        <w:lastRenderedPageBreak/>
        <w:t xml:space="preserve">La genericità e indeterminatezza delle attestazioni rilasciate dal segretario generale del Comune di Marcianise, tutte identiche nella </w:t>
      </w:r>
      <w:r>
        <w:rPr>
          <w:rFonts w:ascii="Californian FB" w:eastAsia="Californian FB" w:hAnsi="Californian FB" w:cs="Californian FB"/>
          <w:sz w:val="28"/>
        </w:rPr>
        <w:t xml:space="preserve">loro composizione e  formulazione a quella sopra riportata (salva la diversa data e il riferimento alle diverse tipologie </w:t>
      </w:r>
    </w:p>
    <w:p w:rsidR="001824CC" w:rsidRDefault="0001090A">
      <w:pPr>
        <w:spacing w:after="45" w:line="356" w:lineRule="auto"/>
        <w:ind w:left="654" w:right="620" w:hanging="10"/>
        <w:jc w:val="both"/>
      </w:pPr>
      <w:r>
        <w:rPr>
          <w:rFonts w:ascii="Californian FB" w:eastAsia="Californian FB" w:hAnsi="Californian FB" w:cs="Californian FB"/>
          <w:sz w:val="28"/>
        </w:rPr>
        <w:t>di permesso fruibile, art. 79 commi 1, 3 e 4),  ha consentito al signor Velardi di usufruire di permessi retribuiti anche in svariate</w:t>
      </w:r>
      <w:r>
        <w:rPr>
          <w:rFonts w:ascii="Californian FB" w:eastAsia="Californian FB" w:hAnsi="Californian FB" w:cs="Californian FB"/>
          <w:sz w:val="28"/>
        </w:rPr>
        <w:t xml:space="preserve"> occasioni in cui tale diritto al rimborso non era attribuibile ed ha favorito un ingiustificabile arbitrio nella concessione dei rimborsi in favore de IL MATTINO datore di lavoro del dipendente Velardi.  </w:t>
      </w:r>
    </w:p>
    <w:p w:rsidR="001824CC" w:rsidRDefault="0001090A">
      <w:pPr>
        <w:numPr>
          <w:ilvl w:val="0"/>
          <w:numId w:val="1"/>
        </w:numPr>
        <w:spacing w:after="3" w:line="356" w:lineRule="auto"/>
        <w:ind w:left="628" w:right="620" w:hanging="360"/>
        <w:jc w:val="both"/>
      </w:pPr>
      <w:r>
        <w:rPr>
          <w:rFonts w:ascii="Californian FB" w:eastAsia="Californian FB" w:hAnsi="Californian FB" w:cs="Californian FB"/>
          <w:sz w:val="28"/>
        </w:rPr>
        <w:t>Valga, a titolo di mero esempio, quanto accaduto n</w:t>
      </w:r>
      <w:r>
        <w:rPr>
          <w:rFonts w:ascii="Californian FB" w:eastAsia="Californian FB" w:hAnsi="Californian FB" w:cs="Californian FB"/>
          <w:sz w:val="28"/>
        </w:rPr>
        <w:t>ella giornata del 19 novembre 2018 allorquando il sindaco ha chiesto ed ottenuto un permesso retribuito per la partecipazione alla giunta, come si evince dall’attestato riportato nel precedente punto 4 e dalla richiesta di rimborso effettuata da Il Mattino</w:t>
      </w:r>
      <w:r>
        <w:rPr>
          <w:rFonts w:ascii="Californian FB" w:eastAsia="Californian FB" w:hAnsi="Californian FB" w:cs="Californian FB"/>
          <w:sz w:val="28"/>
        </w:rPr>
        <w:t xml:space="preserve"> raffigurata nel precedente punto 2. Ebbene, in tale giornata,  la riunione della giunta è iniziata alle ore 14.30, come si rileva dall’immagine che segue riportante il frontespizio dell’unica deliberazione adottata, la n.214 del 19 novembre 2018:  </w:t>
      </w:r>
    </w:p>
    <w:p w:rsidR="001824CC" w:rsidRDefault="0001090A">
      <w:pPr>
        <w:spacing w:after="0"/>
        <w:ind w:left="2158"/>
      </w:pPr>
      <w:r>
        <w:rPr>
          <w:noProof/>
        </w:rPr>
        <w:lastRenderedPageBreak/>
        <w:drawing>
          <wp:inline distT="0" distB="0" distL="0" distR="0">
            <wp:extent cx="3739897" cy="528828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9"/>
                    <a:stretch>
                      <a:fillRect/>
                    </a:stretch>
                  </pic:blipFill>
                  <pic:spPr>
                    <a:xfrm>
                      <a:off x="0" y="0"/>
                      <a:ext cx="3739897" cy="5288280"/>
                    </a:xfrm>
                    <a:prstGeom prst="rect">
                      <a:avLst/>
                    </a:prstGeom>
                  </pic:spPr>
                </pic:pic>
              </a:graphicData>
            </a:graphic>
          </wp:inline>
        </w:drawing>
      </w:r>
      <w:r>
        <w:rPr>
          <w:rFonts w:ascii="Californian FB" w:eastAsia="Californian FB" w:hAnsi="Californian FB" w:cs="Californian FB"/>
          <w:sz w:val="28"/>
        </w:rPr>
        <w:t xml:space="preserve"> </w:t>
      </w:r>
    </w:p>
    <w:p w:rsidR="001824CC" w:rsidRDefault="0001090A">
      <w:pPr>
        <w:numPr>
          <w:ilvl w:val="0"/>
          <w:numId w:val="1"/>
        </w:numPr>
        <w:spacing w:after="3" w:line="356" w:lineRule="auto"/>
        <w:ind w:left="628" w:right="620" w:hanging="360"/>
        <w:jc w:val="both"/>
      </w:pPr>
      <w:r>
        <w:rPr>
          <w:rFonts w:ascii="Californian FB" w:eastAsia="Californian FB" w:hAnsi="Californian FB" w:cs="Californian FB"/>
          <w:sz w:val="28"/>
        </w:rPr>
        <w:t>L’u</w:t>
      </w:r>
      <w:r>
        <w:rPr>
          <w:rFonts w:ascii="Californian FB" w:eastAsia="Californian FB" w:hAnsi="Californian FB" w:cs="Californian FB"/>
          <w:sz w:val="28"/>
        </w:rPr>
        <w:t>nica deliberazione adottata nella seduta di giunta del 19 novembre, come tutte quelle verbalizzate dal segretario generale dell’Ente, è priva dell’orario di fine dei lavori. Sta di fatto che, dalle ore 16 della medesima giornata del 19 novembre 2018, il si</w:t>
      </w:r>
      <w:r>
        <w:rPr>
          <w:rFonts w:ascii="Californian FB" w:eastAsia="Californian FB" w:hAnsi="Californian FB" w:cs="Californian FB"/>
          <w:sz w:val="28"/>
        </w:rPr>
        <w:t xml:space="preserve">gnor Antonello Velardi risulta aver partecipato  quale relatore in un convegno tenutosi presso l’Università Roma Tre, distante circa 200 kilometri dalla Casa Comunale,  come egli stesso dichiara nel post, con relative foto,  pubblicato in pari data e come </w:t>
      </w:r>
      <w:r>
        <w:rPr>
          <w:rFonts w:ascii="Californian FB" w:eastAsia="Californian FB" w:hAnsi="Californian FB" w:cs="Californian FB"/>
          <w:sz w:val="28"/>
        </w:rPr>
        <w:t xml:space="preserve">si evince dalla locandina, entrambi qui riportati:  </w:t>
      </w:r>
    </w:p>
    <w:p w:rsidR="001824CC" w:rsidRDefault="0001090A">
      <w:pPr>
        <w:spacing w:after="0"/>
        <w:ind w:right="919"/>
        <w:jc w:val="right"/>
      </w:pPr>
      <w:r>
        <w:rPr>
          <w:noProof/>
        </w:rPr>
        <w:lastRenderedPageBreak/>
        <w:drawing>
          <wp:inline distT="0" distB="0" distL="0" distR="0">
            <wp:extent cx="5676901" cy="5942076"/>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0"/>
                    <a:stretch>
                      <a:fillRect/>
                    </a:stretch>
                  </pic:blipFill>
                  <pic:spPr>
                    <a:xfrm>
                      <a:off x="0" y="0"/>
                      <a:ext cx="5676901" cy="5942076"/>
                    </a:xfrm>
                    <a:prstGeom prst="rect">
                      <a:avLst/>
                    </a:prstGeom>
                  </pic:spPr>
                </pic:pic>
              </a:graphicData>
            </a:graphic>
          </wp:inline>
        </w:drawing>
      </w:r>
      <w:r>
        <w:rPr>
          <w:rFonts w:ascii="Californian FB" w:eastAsia="Californian FB" w:hAnsi="Californian FB" w:cs="Californian FB"/>
          <w:sz w:val="28"/>
        </w:rPr>
        <w:t xml:space="preserve"> </w:t>
      </w:r>
    </w:p>
    <w:p w:rsidR="001824CC" w:rsidRDefault="0001090A">
      <w:pPr>
        <w:spacing w:after="78"/>
        <w:ind w:right="1826"/>
        <w:jc w:val="right"/>
      </w:pPr>
      <w:r>
        <w:rPr>
          <w:noProof/>
        </w:rPr>
        <w:lastRenderedPageBreak/>
        <w:drawing>
          <wp:inline distT="0" distB="0" distL="0" distR="0">
            <wp:extent cx="4524756" cy="4073652"/>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1"/>
                    <a:stretch>
                      <a:fillRect/>
                    </a:stretch>
                  </pic:blipFill>
                  <pic:spPr>
                    <a:xfrm>
                      <a:off x="0" y="0"/>
                      <a:ext cx="4524756" cy="4073652"/>
                    </a:xfrm>
                    <a:prstGeom prst="rect">
                      <a:avLst/>
                    </a:prstGeom>
                  </pic:spPr>
                </pic:pic>
              </a:graphicData>
            </a:graphic>
          </wp:inline>
        </w:drawing>
      </w:r>
      <w:r>
        <w:rPr>
          <w:rFonts w:ascii="Californian FB" w:eastAsia="Californian FB" w:hAnsi="Californian FB" w:cs="Californian FB"/>
          <w:sz w:val="28"/>
        </w:rPr>
        <w:t xml:space="preserve"> </w:t>
      </w:r>
    </w:p>
    <w:p w:rsidR="001824CC" w:rsidRDefault="0001090A">
      <w:pPr>
        <w:numPr>
          <w:ilvl w:val="0"/>
          <w:numId w:val="1"/>
        </w:numPr>
        <w:spacing w:after="40" w:line="343" w:lineRule="auto"/>
        <w:ind w:left="628" w:right="620" w:hanging="360"/>
        <w:jc w:val="both"/>
      </w:pPr>
      <w:r>
        <w:rPr>
          <w:rFonts w:ascii="Californian FB" w:eastAsia="Californian FB" w:hAnsi="Californian FB" w:cs="Californian FB"/>
          <w:sz w:val="28"/>
        </w:rPr>
        <w:t xml:space="preserve">In tale caso appare evidente che la partecipazione ad un convegno è fatto estraneo alla previsione contenuta nell’art. 79, </w:t>
      </w:r>
      <w:r>
        <w:rPr>
          <w:rFonts w:ascii="Californian FB" w:eastAsia="Californian FB" w:hAnsi="Californian FB" w:cs="Californian FB"/>
          <w:b/>
          <w:sz w:val="28"/>
          <w:u w:val="single" w:color="000000"/>
        </w:rPr>
        <w:t>comma 3</w:t>
      </w:r>
      <w:r>
        <w:rPr>
          <w:rFonts w:ascii="Californian FB" w:eastAsia="Californian FB" w:hAnsi="Californian FB" w:cs="Californian FB"/>
          <w:sz w:val="28"/>
        </w:rPr>
        <w:t>, del D. Lgs. 276/2003, che testualmente recita: “</w:t>
      </w:r>
      <w:r>
        <w:rPr>
          <w:rFonts w:ascii="Californian FB" w:eastAsia="Californian FB" w:hAnsi="Californian FB" w:cs="Californian FB"/>
          <w:b/>
          <w:sz w:val="30"/>
        </w:rPr>
        <w:t>I lavoratori dipendenti facenti parte delle Giunte comunali, provinciali, metropolitane, delle Comunità montane, nonchè degli organi esecutivi dei consigli circoscrizionali, dei municipi, delle unioni di comuni e dei consorzi fra enti locali, ovvero facent</w:t>
      </w:r>
      <w:r>
        <w:rPr>
          <w:rFonts w:ascii="Californian FB" w:eastAsia="Californian FB" w:hAnsi="Californian FB" w:cs="Californian FB"/>
          <w:b/>
          <w:sz w:val="30"/>
        </w:rPr>
        <w:t>i parte delle commissioni consiliari o circoscrizionali formalmente istituite nonchè delle commissioni comunali previste per legge, ovvero membri delle conferenze dei capogruppo e degli organismi di pari opportunità, previsti dagli statuti e dai regolament</w:t>
      </w:r>
      <w:r>
        <w:rPr>
          <w:rFonts w:ascii="Californian FB" w:eastAsia="Californian FB" w:hAnsi="Californian FB" w:cs="Californian FB"/>
          <w:b/>
          <w:sz w:val="30"/>
        </w:rPr>
        <w:t xml:space="preserve">i consiliari, hanno diritto di assentarsi dal servizio per partecipare alle riunioni degli organi di cui fanno parte per la loro effettiva durata. Il diritto di assentarsi di cui al presente comma comprende il tempo per raggiungere il luogo della riunione </w:t>
      </w:r>
      <w:r>
        <w:rPr>
          <w:rFonts w:ascii="Californian FB" w:eastAsia="Californian FB" w:hAnsi="Californian FB" w:cs="Californian FB"/>
          <w:b/>
          <w:sz w:val="30"/>
        </w:rPr>
        <w:t>e rientrare al posto di lavoro</w:t>
      </w:r>
      <w:r>
        <w:rPr>
          <w:rFonts w:ascii="Californian FB" w:eastAsia="Californian FB" w:hAnsi="Californian FB" w:cs="Californian FB"/>
          <w:sz w:val="28"/>
        </w:rPr>
        <w:t xml:space="preserve">.” </w:t>
      </w:r>
    </w:p>
    <w:p w:rsidR="001824CC" w:rsidRDefault="0001090A">
      <w:pPr>
        <w:numPr>
          <w:ilvl w:val="0"/>
          <w:numId w:val="1"/>
        </w:numPr>
        <w:spacing w:after="44" w:line="356" w:lineRule="auto"/>
        <w:ind w:left="628" w:right="620" w:hanging="360"/>
        <w:jc w:val="both"/>
      </w:pPr>
      <w:r>
        <w:rPr>
          <w:rFonts w:ascii="Californian FB" w:eastAsia="Californian FB" w:hAnsi="Californian FB" w:cs="Californian FB"/>
          <w:sz w:val="28"/>
        </w:rPr>
        <w:lastRenderedPageBreak/>
        <w:t xml:space="preserve">E’ altrettanto evidente, nel caso evidenziato, come il Comune di Marcianise abbia indebitamente e illegittimamente riconosciuto a IL MATTINO s.p.a. </w:t>
      </w:r>
      <w:r>
        <w:rPr>
          <w:rFonts w:ascii="Californian FB" w:eastAsia="Californian FB" w:hAnsi="Californian FB" w:cs="Californian FB"/>
          <w:sz w:val="28"/>
        </w:rPr>
        <w:t>il rimborso per un’intera giornata di lavoro, come si rileva dalla richiesta riportata al punto 2, e che ciò sia avvenuto per la genericità e l’indeterminatezza dell’attestazione rilasciata dal segretario comunale in violazione – lo si ripete – di quanto p</w:t>
      </w:r>
      <w:r>
        <w:rPr>
          <w:rFonts w:ascii="Californian FB" w:eastAsia="Californian FB" w:hAnsi="Californian FB" w:cs="Californian FB"/>
          <w:sz w:val="28"/>
        </w:rPr>
        <w:t xml:space="preserve">revisto dall’art. 79, comma 6, del decreto Legislativo 267/2000.  </w:t>
      </w:r>
    </w:p>
    <w:p w:rsidR="001824CC" w:rsidRDefault="0001090A">
      <w:pPr>
        <w:numPr>
          <w:ilvl w:val="0"/>
          <w:numId w:val="1"/>
        </w:numPr>
        <w:spacing w:after="3" w:line="356" w:lineRule="auto"/>
        <w:ind w:left="628" w:right="620" w:hanging="360"/>
        <w:jc w:val="both"/>
      </w:pPr>
      <w:r>
        <w:rPr>
          <w:rFonts w:ascii="Californian FB" w:eastAsia="Californian FB" w:hAnsi="Californian FB" w:cs="Californian FB"/>
          <w:sz w:val="28"/>
        </w:rPr>
        <w:t>L’indagine sui permessi retribuiti rimborsati dal Comune di Marcianise a ILMATTINO s.p.a. ha consentito agli scriventi di accertare una pluralità di casi nei quali il diritto al rimborso me</w:t>
      </w:r>
      <w:r>
        <w:rPr>
          <w:rFonts w:ascii="Californian FB" w:eastAsia="Californian FB" w:hAnsi="Californian FB" w:cs="Californian FB"/>
          <w:sz w:val="28"/>
        </w:rPr>
        <w:t xml:space="preserve">desimo risulta davvero opinabile.  </w:t>
      </w:r>
    </w:p>
    <w:p w:rsidR="001824CC" w:rsidRDefault="0001090A">
      <w:pPr>
        <w:spacing w:after="94"/>
        <w:ind w:left="654" w:right="620" w:hanging="10"/>
        <w:jc w:val="both"/>
      </w:pPr>
      <w:r>
        <w:rPr>
          <w:rFonts w:ascii="Californian FB" w:eastAsia="Californian FB" w:hAnsi="Californian FB" w:cs="Californian FB"/>
          <w:sz w:val="28"/>
        </w:rPr>
        <w:t xml:space="preserve">A titolo  di esempio si riportano il caso del 31 gennaio :  </w:t>
      </w:r>
    </w:p>
    <w:p w:rsidR="001824CC" w:rsidRDefault="0001090A">
      <w:pPr>
        <w:spacing w:after="98" w:line="283" w:lineRule="auto"/>
        <w:ind w:left="283"/>
      </w:pPr>
      <w:r>
        <w:rPr>
          <w:noProof/>
        </w:rPr>
        <w:drawing>
          <wp:inline distT="0" distB="0" distL="0" distR="0">
            <wp:extent cx="2956560" cy="4475988"/>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2"/>
                    <a:stretch>
                      <a:fillRect/>
                    </a:stretch>
                  </pic:blipFill>
                  <pic:spPr>
                    <a:xfrm>
                      <a:off x="0" y="0"/>
                      <a:ext cx="2956560" cy="4475988"/>
                    </a:xfrm>
                    <a:prstGeom prst="rect">
                      <a:avLst/>
                    </a:prstGeom>
                  </pic:spPr>
                </pic:pic>
              </a:graphicData>
            </a:graphic>
          </wp:inline>
        </w:drawing>
      </w:r>
      <w:r>
        <w:tab/>
      </w:r>
      <w:r>
        <w:rPr>
          <w:noProof/>
        </w:rPr>
        <w:drawing>
          <wp:inline distT="0" distB="0" distL="0" distR="0">
            <wp:extent cx="3215640" cy="4428744"/>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3"/>
                    <a:stretch>
                      <a:fillRect/>
                    </a:stretch>
                  </pic:blipFill>
                  <pic:spPr>
                    <a:xfrm>
                      <a:off x="0" y="0"/>
                      <a:ext cx="3215640" cy="4428744"/>
                    </a:xfrm>
                    <a:prstGeom prst="rect">
                      <a:avLst/>
                    </a:prstGeom>
                  </pic:spPr>
                </pic:pic>
              </a:graphicData>
            </a:graphic>
          </wp:inline>
        </w:drawing>
      </w:r>
      <w:r>
        <w:rPr>
          <w:rFonts w:ascii="Californian FB" w:eastAsia="Californian FB" w:hAnsi="Californian FB" w:cs="Californian FB"/>
          <w:sz w:val="28"/>
        </w:rPr>
        <w:t xml:space="preserve">  </w:t>
      </w:r>
    </w:p>
    <w:p w:rsidR="001824CC" w:rsidRDefault="0001090A">
      <w:pPr>
        <w:spacing w:after="91"/>
        <w:ind w:left="228" w:hanging="10"/>
        <w:jc w:val="center"/>
      </w:pPr>
      <w:r>
        <w:rPr>
          <w:rFonts w:ascii="Californian FB" w:eastAsia="Californian FB" w:hAnsi="Californian FB" w:cs="Californian FB"/>
          <w:sz w:val="28"/>
        </w:rPr>
        <w:t xml:space="preserve">Il caso del 25 gennaio: </w:t>
      </w:r>
    </w:p>
    <w:p w:rsidR="001824CC" w:rsidRDefault="0001090A">
      <w:pPr>
        <w:spacing w:after="72" w:line="302" w:lineRule="auto"/>
        <w:ind w:right="799" w:firstLine="655"/>
      </w:pPr>
      <w:r>
        <w:rPr>
          <w:noProof/>
        </w:rPr>
        <w:lastRenderedPageBreak/>
        <mc:AlternateContent>
          <mc:Choice Requires="wpg">
            <w:drawing>
              <wp:inline distT="0" distB="0" distL="0" distR="0">
                <wp:extent cx="5739385" cy="3360421"/>
                <wp:effectExtent l="0" t="0" r="0" b="0"/>
                <wp:docPr id="7931" name="Group 7931"/>
                <wp:cNvGraphicFramePr/>
                <a:graphic xmlns:a="http://schemas.openxmlformats.org/drawingml/2006/main">
                  <a:graphicData uri="http://schemas.microsoft.com/office/word/2010/wordprocessingGroup">
                    <wpg:wgp>
                      <wpg:cNvGrpSpPr/>
                      <wpg:grpSpPr>
                        <a:xfrm>
                          <a:off x="0" y="0"/>
                          <a:ext cx="5739385" cy="3360421"/>
                          <a:chOff x="0" y="0"/>
                          <a:chExt cx="5739385" cy="3360421"/>
                        </a:xfrm>
                      </wpg:grpSpPr>
                      <pic:pic xmlns:pic="http://schemas.openxmlformats.org/drawingml/2006/picture">
                        <pic:nvPicPr>
                          <pic:cNvPr id="365" name="Picture 365"/>
                          <pic:cNvPicPr/>
                        </pic:nvPicPr>
                        <pic:blipFill>
                          <a:blip r:embed="rId14"/>
                          <a:stretch>
                            <a:fillRect/>
                          </a:stretch>
                        </pic:blipFill>
                        <pic:spPr>
                          <a:xfrm>
                            <a:off x="0" y="0"/>
                            <a:ext cx="2843784" cy="3358896"/>
                          </a:xfrm>
                          <a:prstGeom prst="rect">
                            <a:avLst/>
                          </a:prstGeom>
                        </pic:spPr>
                      </pic:pic>
                      <pic:pic xmlns:pic="http://schemas.openxmlformats.org/drawingml/2006/picture">
                        <pic:nvPicPr>
                          <pic:cNvPr id="367" name="Picture 367"/>
                          <pic:cNvPicPr/>
                        </pic:nvPicPr>
                        <pic:blipFill>
                          <a:blip r:embed="rId15"/>
                          <a:stretch>
                            <a:fillRect/>
                          </a:stretch>
                        </pic:blipFill>
                        <pic:spPr>
                          <a:xfrm>
                            <a:off x="2843784" y="6097"/>
                            <a:ext cx="2895601" cy="3354324"/>
                          </a:xfrm>
                          <a:prstGeom prst="rect">
                            <a:avLst/>
                          </a:prstGeom>
                        </pic:spPr>
                      </pic:pic>
                    </wpg:wgp>
                  </a:graphicData>
                </a:graphic>
              </wp:inline>
            </w:drawing>
          </mc:Choice>
          <mc:Fallback xmlns:a="http://schemas.openxmlformats.org/drawingml/2006/main">
            <w:pict>
              <v:group id="Group 7931" style="width:451.92pt;height:264.6pt;mso-position-horizontal-relative:char;mso-position-vertical-relative:line" coordsize="57393,33604">
                <v:shape id="Picture 365" style="position:absolute;width:28437;height:33588;left:0;top:0;" filled="f">
                  <v:imagedata r:id="rId16"/>
                </v:shape>
                <v:shape id="Picture 367" style="position:absolute;width:28956;height:33543;left:28437;top:60;" filled="f">
                  <v:imagedata r:id="rId17"/>
                </v:shape>
              </v:group>
            </w:pict>
          </mc:Fallback>
        </mc:AlternateContent>
      </w:r>
      <w:r>
        <w:rPr>
          <w:rFonts w:ascii="Californian FB" w:eastAsia="Californian FB" w:hAnsi="Californian FB" w:cs="Californian FB"/>
          <w:sz w:val="28"/>
        </w:rPr>
        <w:t xml:space="preserve">  </w:t>
      </w:r>
    </w:p>
    <w:p w:rsidR="001824CC" w:rsidRDefault="0001090A">
      <w:pPr>
        <w:pStyle w:val="Titolo2"/>
        <w:ind w:left="228" w:right="136"/>
      </w:pPr>
      <w:r>
        <w:t xml:space="preserve">Il caso del 15 ottobre 2018 </w:t>
      </w:r>
    </w:p>
    <w:p w:rsidR="001824CC" w:rsidRDefault="0001090A">
      <w:pPr>
        <w:spacing w:after="0" w:line="284" w:lineRule="auto"/>
        <w:ind w:left="283" w:right="154"/>
      </w:pPr>
      <w:r>
        <w:rPr>
          <w:noProof/>
        </w:rPr>
        <mc:AlternateContent>
          <mc:Choice Requires="wpg">
            <w:drawing>
              <wp:inline distT="0" distB="0" distL="0" distR="0">
                <wp:extent cx="6385560" cy="4515612"/>
                <wp:effectExtent l="0" t="0" r="0" b="0"/>
                <wp:docPr id="7932" name="Group 7932"/>
                <wp:cNvGraphicFramePr/>
                <a:graphic xmlns:a="http://schemas.openxmlformats.org/drawingml/2006/main">
                  <a:graphicData uri="http://schemas.microsoft.com/office/word/2010/wordprocessingGroup">
                    <wpg:wgp>
                      <wpg:cNvGrpSpPr/>
                      <wpg:grpSpPr>
                        <a:xfrm>
                          <a:off x="0" y="0"/>
                          <a:ext cx="6385560" cy="4515612"/>
                          <a:chOff x="0" y="0"/>
                          <a:chExt cx="6385560" cy="4515612"/>
                        </a:xfrm>
                      </wpg:grpSpPr>
                      <pic:pic xmlns:pic="http://schemas.openxmlformats.org/drawingml/2006/picture">
                        <pic:nvPicPr>
                          <pic:cNvPr id="369" name="Picture 369"/>
                          <pic:cNvPicPr/>
                        </pic:nvPicPr>
                        <pic:blipFill>
                          <a:blip r:embed="rId18"/>
                          <a:stretch>
                            <a:fillRect/>
                          </a:stretch>
                        </pic:blipFill>
                        <pic:spPr>
                          <a:xfrm>
                            <a:off x="0" y="0"/>
                            <a:ext cx="2535936" cy="4509516"/>
                          </a:xfrm>
                          <a:prstGeom prst="rect">
                            <a:avLst/>
                          </a:prstGeom>
                        </pic:spPr>
                      </pic:pic>
                      <pic:pic xmlns:pic="http://schemas.openxmlformats.org/drawingml/2006/picture">
                        <pic:nvPicPr>
                          <pic:cNvPr id="371" name="Picture 371"/>
                          <pic:cNvPicPr/>
                        </pic:nvPicPr>
                        <pic:blipFill>
                          <a:blip r:embed="rId19"/>
                          <a:stretch>
                            <a:fillRect/>
                          </a:stretch>
                        </pic:blipFill>
                        <pic:spPr>
                          <a:xfrm>
                            <a:off x="2535936" y="449580"/>
                            <a:ext cx="3849624" cy="4066032"/>
                          </a:xfrm>
                          <a:prstGeom prst="rect">
                            <a:avLst/>
                          </a:prstGeom>
                        </pic:spPr>
                      </pic:pic>
                    </wpg:wgp>
                  </a:graphicData>
                </a:graphic>
              </wp:inline>
            </w:drawing>
          </mc:Choice>
          <mc:Fallback xmlns:a="http://schemas.openxmlformats.org/drawingml/2006/main">
            <w:pict>
              <v:group id="Group 7932" style="width:502.8pt;height:355.56pt;mso-position-horizontal-relative:char;mso-position-vertical-relative:line" coordsize="63855,45156">
                <v:shape id="Picture 369" style="position:absolute;width:25359;height:45095;left:0;top:0;" filled="f">
                  <v:imagedata r:id="rId20"/>
                </v:shape>
                <v:shape id="Picture 371" style="position:absolute;width:38496;height:40660;left:25359;top:4495;" filled="f">
                  <v:imagedata r:id="rId21"/>
                </v:shape>
              </v:group>
            </w:pict>
          </mc:Fallback>
        </mc:AlternateContent>
      </w:r>
      <w:r>
        <w:rPr>
          <w:rFonts w:ascii="Californian FB" w:eastAsia="Californian FB" w:hAnsi="Californian FB" w:cs="Californian FB"/>
          <w:sz w:val="28"/>
        </w:rPr>
        <w:t xml:space="preserve">  </w:t>
      </w:r>
    </w:p>
    <w:p w:rsidR="001824CC" w:rsidRDefault="0001090A">
      <w:pPr>
        <w:spacing w:after="94"/>
        <w:ind w:left="3616" w:right="620" w:hanging="10"/>
        <w:jc w:val="both"/>
      </w:pPr>
      <w:r>
        <w:rPr>
          <w:rFonts w:ascii="Californian FB" w:eastAsia="Californian FB" w:hAnsi="Californian FB" w:cs="Californian FB"/>
          <w:sz w:val="28"/>
        </w:rPr>
        <w:t xml:space="preserve">Il caso del 18 febbraio 2019  </w:t>
      </w:r>
    </w:p>
    <w:p w:rsidR="001824CC" w:rsidRDefault="0001090A">
      <w:pPr>
        <w:spacing w:after="55"/>
        <w:ind w:left="-142" w:right="365"/>
        <w:jc w:val="right"/>
      </w:pPr>
      <w:r>
        <w:rPr>
          <w:noProof/>
        </w:rPr>
        <w:lastRenderedPageBreak/>
        <mc:AlternateContent>
          <mc:Choice Requires="wpg">
            <w:drawing>
              <wp:inline distT="0" distB="0" distL="0" distR="0">
                <wp:extent cx="6522720" cy="6656832"/>
                <wp:effectExtent l="0" t="0" r="0" b="0"/>
                <wp:docPr id="8054" name="Group 8054"/>
                <wp:cNvGraphicFramePr/>
                <a:graphic xmlns:a="http://schemas.openxmlformats.org/drawingml/2006/main">
                  <a:graphicData uri="http://schemas.microsoft.com/office/word/2010/wordprocessingGroup">
                    <wpg:wgp>
                      <wpg:cNvGrpSpPr/>
                      <wpg:grpSpPr>
                        <a:xfrm>
                          <a:off x="0" y="0"/>
                          <a:ext cx="6522720" cy="6656832"/>
                          <a:chOff x="0" y="0"/>
                          <a:chExt cx="6522720" cy="6656832"/>
                        </a:xfrm>
                      </wpg:grpSpPr>
                      <pic:pic xmlns:pic="http://schemas.openxmlformats.org/drawingml/2006/picture">
                        <pic:nvPicPr>
                          <pic:cNvPr id="387" name="Picture 387"/>
                          <pic:cNvPicPr/>
                        </pic:nvPicPr>
                        <pic:blipFill>
                          <a:blip r:embed="rId22"/>
                          <a:stretch>
                            <a:fillRect/>
                          </a:stretch>
                        </pic:blipFill>
                        <pic:spPr>
                          <a:xfrm>
                            <a:off x="0" y="0"/>
                            <a:ext cx="3444240" cy="6656832"/>
                          </a:xfrm>
                          <a:prstGeom prst="rect">
                            <a:avLst/>
                          </a:prstGeom>
                        </pic:spPr>
                      </pic:pic>
                      <pic:pic xmlns:pic="http://schemas.openxmlformats.org/drawingml/2006/picture">
                        <pic:nvPicPr>
                          <pic:cNvPr id="389" name="Picture 389"/>
                          <pic:cNvPicPr/>
                        </pic:nvPicPr>
                        <pic:blipFill>
                          <a:blip r:embed="rId23"/>
                          <a:stretch>
                            <a:fillRect/>
                          </a:stretch>
                        </pic:blipFill>
                        <pic:spPr>
                          <a:xfrm>
                            <a:off x="3447288" y="1871472"/>
                            <a:ext cx="3075432" cy="4785360"/>
                          </a:xfrm>
                          <a:prstGeom prst="rect">
                            <a:avLst/>
                          </a:prstGeom>
                        </pic:spPr>
                      </pic:pic>
                    </wpg:wgp>
                  </a:graphicData>
                </a:graphic>
              </wp:inline>
            </w:drawing>
          </mc:Choice>
          <mc:Fallback xmlns:a="http://schemas.openxmlformats.org/drawingml/2006/main">
            <w:pict>
              <v:group id="Group 8054" style="width:513.6pt;height:524.16pt;mso-position-horizontal-relative:char;mso-position-vertical-relative:line" coordsize="65227,66568">
                <v:shape id="Picture 387" style="position:absolute;width:34442;height:66568;left:0;top:0;" filled="f">
                  <v:imagedata r:id="rId24"/>
                </v:shape>
                <v:shape id="Picture 389" style="position:absolute;width:30754;height:47853;left:34472;top:18714;" filled="f">
                  <v:imagedata r:id="rId25"/>
                </v:shape>
              </v:group>
            </w:pict>
          </mc:Fallback>
        </mc:AlternateContent>
      </w:r>
      <w:r>
        <w:rPr>
          <w:rFonts w:ascii="Californian FB" w:eastAsia="Californian FB" w:hAnsi="Californian FB" w:cs="Californian FB"/>
          <w:sz w:val="28"/>
        </w:rPr>
        <w:t xml:space="preserve"> </w:t>
      </w:r>
    </w:p>
    <w:p w:rsidR="001824CC" w:rsidRDefault="0001090A">
      <w:pPr>
        <w:spacing w:after="130"/>
        <w:ind w:left="5103"/>
      </w:pPr>
      <w:r>
        <w:rPr>
          <w:rFonts w:ascii="Californian FB" w:eastAsia="Californian FB" w:hAnsi="Californian FB" w:cs="Californian FB"/>
          <w:sz w:val="28"/>
        </w:rPr>
        <w:t xml:space="preserve"> </w:t>
      </w:r>
    </w:p>
    <w:p w:rsidR="001824CC" w:rsidRDefault="0001090A">
      <w:pPr>
        <w:spacing w:after="130"/>
        <w:ind w:left="5103"/>
      </w:pPr>
      <w:r>
        <w:rPr>
          <w:rFonts w:ascii="Californian FB" w:eastAsia="Californian FB" w:hAnsi="Californian FB" w:cs="Californian FB"/>
          <w:sz w:val="28"/>
        </w:rPr>
        <w:t xml:space="preserve"> </w:t>
      </w:r>
    </w:p>
    <w:p w:rsidR="001824CC" w:rsidRDefault="0001090A">
      <w:pPr>
        <w:spacing w:after="3"/>
        <w:ind w:left="3493" w:right="620" w:hanging="10"/>
        <w:jc w:val="both"/>
      </w:pPr>
      <w:r>
        <w:rPr>
          <w:rFonts w:ascii="Californian FB" w:eastAsia="Californian FB" w:hAnsi="Californian FB" w:cs="Californian FB"/>
          <w:sz w:val="28"/>
        </w:rPr>
        <w:t xml:space="preserve">Il caso del 21 novembre 2018: </w:t>
      </w:r>
    </w:p>
    <w:p w:rsidR="001824CC" w:rsidRDefault="0001090A">
      <w:pPr>
        <w:spacing w:after="58"/>
        <w:ind w:left="-142" w:right="17"/>
        <w:jc w:val="right"/>
      </w:pPr>
      <w:r>
        <w:rPr>
          <w:noProof/>
        </w:rPr>
        <w:lastRenderedPageBreak/>
        <mc:AlternateContent>
          <mc:Choice Requires="wpg">
            <w:drawing>
              <wp:inline distT="0" distB="0" distL="0" distR="0">
                <wp:extent cx="6742176" cy="6089904"/>
                <wp:effectExtent l="0" t="0" r="0" b="0"/>
                <wp:docPr id="7450" name="Group 7450"/>
                <wp:cNvGraphicFramePr/>
                <a:graphic xmlns:a="http://schemas.openxmlformats.org/drawingml/2006/main">
                  <a:graphicData uri="http://schemas.microsoft.com/office/word/2010/wordprocessingGroup">
                    <wpg:wgp>
                      <wpg:cNvGrpSpPr/>
                      <wpg:grpSpPr>
                        <a:xfrm>
                          <a:off x="0" y="0"/>
                          <a:ext cx="6742176" cy="6089904"/>
                          <a:chOff x="0" y="0"/>
                          <a:chExt cx="6742176" cy="6089904"/>
                        </a:xfrm>
                      </wpg:grpSpPr>
                      <pic:pic xmlns:pic="http://schemas.openxmlformats.org/drawingml/2006/picture">
                        <pic:nvPicPr>
                          <pic:cNvPr id="429" name="Picture 429"/>
                          <pic:cNvPicPr/>
                        </pic:nvPicPr>
                        <pic:blipFill>
                          <a:blip r:embed="rId26"/>
                          <a:stretch>
                            <a:fillRect/>
                          </a:stretch>
                        </pic:blipFill>
                        <pic:spPr>
                          <a:xfrm>
                            <a:off x="0" y="0"/>
                            <a:ext cx="3480816" cy="6089904"/>
                          </a:xfrm>
                          <a:prstGeom prst="rect">
                            <a:avLst/>
                          </a:prstGeom>
                        </pic:spPr>
                      </pic:pic>
                      <pic:pic xmlns:pic="http://schemas.openxmlformats.org/drawingml/2006/picture">
                        <pic:nvPicPr>
                          <pic:cNvPr id="431" name="Picture 431"/>
                          <pic:cNvPicPr/>
                        </pic:nvPicPr>
                        <pic:blipFill>
                          <a:blip r:embed="rId27"/>
                          <a:stretch>
                            <a:fillRect/>
                          </a:stretch>
                        </pic:blipFill>
                        <pic:spPr>
                          <a:xfrm>
                            <a:off x="3485388" y="1485900"/>
                            <a:ext cx="3256789" cy="4600956"/>
                          </a:xfrm>
                          <a:prstGeom prst="rect">
                            <a:avLst/>
                          </a:prstGeom>
                        </pic:spPr>
                      </pic:pic>
                    </wpg:wgp>
                  </a:graphicData>
                </a:graphic>
              </wp:inline>
            </w:drawing>
          </mc:Choice>
          <mc:Fallback xmlns:a="http://schemas.openxmlformats.org/drawingml/2006/main">
            <w:pict>
              <v:group id="Group 7450" style="width:530.88pt;height:479.52pt;mso-position-horizontal-relative:char;mso-position-vertical-relative:line" coordsize="67421,60899">
                <v:shape id="Picture 429" style="position:absolute;width:34808;height:60899;left:0;top:0;" filled="f">
                  <v:imagedata r:id="rId28"/>
                </v:shape>
                <v:shape id="Picture 431" style="position:absolute;width:32567;height:46009;left:34853;top:14859;" filled="f">
                  <v:imagedata r:id="rId29"/>
                </v:shape>
              </v:group>
            </w:pict>
          </mc:Fallback>
        </mc:AlternateContent>
      </w:r>
      <w:r>
        <w:rPr>
          <w:rFonts w:ascii="Californian FB" w:eastAsia="Californian FB" w:hAnsi="Californian FB" w:cs="Californian FB"/>
          <w:sz w:val="28"/>
        </w:rPr>
        <w:t xml:space="preserve"> </w:t>
      </w:r>
    </w:p>
    <w:p w:rsidR="001824CC" w:rsidRDefault="0001090A">
      <w:pPr>
        <w:spacing w:after="172"/>
        <w:ind w:left="283"/>
      </w:pPr>
      <w:r>
        <w:rPr>
          <w:rFonts w:ascii="Californian FB" w:eastAsia="Californian FB" w:hAnsi="Californian FB" w:cs="Californian FB"/>
          <w:sz w:val="28"/>
        </w:rPr>
        <w:t xml:space="preserve"> </w:t>
      </w:r>
    </w:p>
    <w:p w:rsidR="001824CC" w:rsidRDefault="0001090A">
      <w:pPr>
        <w:numPr>
          <w:ilvl w:val="0"/>
          <w:numId w:val="2"/>
        </w:numPr>
        <w:spacing w:after="3" w:line="356" w:lineRule="auto"/>
        <w:ind w:left="638" w:right="617" w:hanging="370"/>
        <w:jc w:val="both"/>
      </w:pPr>
      <w:r>
        <w:rPr>
          <w:rFonts w:ascii="Californian FB" w:eastAsia="Californian FB" w:hAnsi="Californian FB" w:cs="Californian FB"/>
          <w:sz w:val="28"/>
        </w:rPr>
        <w:t>La indeterminatezza e la genericità di tutte le attestazioni rilasciate dal segretario generale del Comune di Marcianise e l’assenza di documentazione che dimostri in maniera puntuale l’effettivo svolgimento e la reale durata delle riunioni di giunta cui h</w:t>
      </w:r>
      <w:r>
        <w:rPr>
          <w:rFonts w:ascii="Californian FB" w:eastAsia="Californian FB" w:hAnsi="Californian FB" w:cs="Californian FB"/>
          <w:sz w:val="28"/>
        </w:rPr>
        <w:t>a partecipato il signor Velardi o la reale durata delle altre attività di espletamento del mandato, hanno consentito a quest’ultimo e, di conseguenza a Il Mattino spa, di beneficiare di un rimborso complessivo stimabile allo stato in circa € 208.000,00  (d</w:t>
      </w:r>
      <w:r>
        <w:rPr>
          <w:rFonts w:ascii="Californian FB" w:eastAsia="Californian FB" w:hAnsi="Californian FB" w:cs="Californian FB"/>
          <w:sz w:val="28"/>
        </w:rPr>
        <w:t xml:space="preserve">uecentoottomilaeuro): tale importo, per quanto accertato dagli scriventi, è stato concesso in assenza dei requisiti previsti dalla legge.  </w:t>
      </w:r>
    </w:p>
    <w:p w:rsidR="001824CC" w:rsidRDefault="0001090A">
      <w:pPr>
        <w:numPr>
          <w:ilvl w:val="0"/>
          <w:numId w:val="2"/>
        </w:numPr>
        <w:spacing w:after="51" w:line="350" w:lineRule="auto"/>
        <w:ind w:left="638" w:right="617" w:hanging="370"/>
        <w:jc w:val="both"/>
      </w:pPr>
      <w:r>
        <w:rPr>
          <w:rFonts w:ascii="Californian FB" w:eastAsia="Californian FB" w:hAnsi="Californian FB" w:cs="Californian FB"/>
          <w:sz w:val="28"/>
        </w:rPr>
        <w:lastRenderedPageBreak/>
        <w:t>Per i casi qui denunciati, è pur vero che l</w:t>
      </w:r>
      <w:r>
        <w:rPr>
          <w:rFonts w:ascii="Californian FB" w:eastAsia="Californian FB" w:hAnsi="Californian FB" w:cs="Californian FB"/>
          <w:color w:val="222222"/>
          <w:sz w:val="28"/>
        </w:rPr>
        <w:t>'articolo 79 del decreto legislativo 18 agosto 2000, n. 267 stabilisce il</w:t>
      </w:r>
      <w:r>
        <w:rPr>
          <w:rFonts w:ascii="Californian FB" w:eastAsia="Californian FB" w:hAnsi="Californian FB" w:cs="Californian FB"/>
          <w:color w:val="222222"/>
          <w:sz w:val="28"/>
        </w:rPr>
        <w:t xml:space="preserve"> diritto degli amministratori locali di fruire di permessi, retribuiti e non, per assentarsi dal lavoro per l'esercizio del mandato correlato alla carica rivestita presso gli enti in cui sono stati eletti o nominati: tuttavia il comma 6 dell'indicato artic</w:t>
      </w:r>
      <w:r>
        <w:rPr>
          <w:rFonts w:ascii="Californian FB" w:eastAsia="Californian FB" w:hAnsi="Californian FB" w:cs="Californian FB"/>
          <w:color w:val="222222"/>
          <w:sz w:val="28"/>
        </w:rPr>
        <w:t xml:space="preserve">olo prevede, in particolare, che l'attività ed i tempi di espletamento del mandato per i quali i lavoratori chiedono ed ottengono permessi, retribuiti e non retribuiti, debbano essere prontamente e puntualmente documentati mediante attestazione dell'ente. </w:t>
      </w:r>
      <w:r>
        <w:rPr>
          <w:rFonts w:ascii="Californian FB" w:eastAsia="Californian FB" w:hAnsi="Californian FB" w:cs="Californian FB"/>
          <w:sz w:val="28"/>
        </w:rPr>
        <w:t xml:space="preserve"> </w:t>
      </w:r>
    </w:p>
    <w:p w:rsidR="001824CC" w:rsidRDefault="0001090A">
      <w:pPr>
        <w:numPr>
          <w:ilvl w:val="0"/>
          <w:numId w:val="2"/>
        </w:numPr>
        <w:spacing w:after="51" w:line="350" w:lineRule="auto"/>
        <w:ind w:left="638" w:right="617" w:hanging="370"/>
        <w:jc w:val="both"/>
      </w:pPr>
      <w:r>
        <w:rPr>
          <w:rFonts w:ascii="Californian FB" w:eastAsia="Californian FB" w:hAnsi="Californian FB" w:cs="Californian FB"/>
          <w:color w:val="222222"/>
          <w:sz w:val="28"/>
        </w:rPr>
        <w:t>Come chiarito dal Ministero dell'Interno con propri pareri resi sull'argomento, risulta fondamentale che le attività svolte dall'amministratore in questione siano correlate esclusivamente alle funzioni amministrative ricoperte, desunte da incarichi deman</w:t>
      </w:r>
      <w:r>
        <w:rPr>
          <w:rFonts w:ascii="Californian FB" w:eastAsia="Californian FB" w:hAnsi="Californian FB" w:cs="Californian FB"/>
          <w:color w:val="222222"/>
          <w:sz w:val="28"/>
        </w:rPr>
        <w:t xml:space="preserve">dati all'amministratore dall'ente, proprio in forza della carica rivestita presso lo stesso. </w:t>
      </w:r>
      <w:r>
        <w:rPr>
          <w:rFonts w:ascii="Californian FB" w:eastAsia="Californian FB" w:hAnsi="Californian FB" w:cs="Californian FB"/>
          <w:sz w:val="28"/>
        </w:rPr>
        <w:t xml:space="preserve"> </w:t>
      </w:r>
    </w:p>
    <w:p w:rsidR="001824CC" w:rsidRDefault="0001090A">
      <w:pPr>
        <w:numPr>
          <w:ilvl w:val="0"/>
          <w:numId w:val="2"/>
        </w:numPr>
        <w:spacing w:after="51" w:line="350" w:lineRule="auto"/>
        <w:ind w:left="638" w:right="617" w:hanging="370"/>
        <w:jc w:val="both"/>
      </w:pPr>
      <w:r>
        <w:rPr>
          <w:rFonts w:ascii="Californian FB" w:eastAsia="Californian FB" w:hAnsi="Californian FB" w:cs="Californian FB"/>
          <w:color w:val="222222"/>
          <w:sz w:val="28"/>
        </w:rPr>
        <w:t>La necessità di attestazione riguarda le varie tipologie di permessi, siano essi retribuiti oppure no, e sia che riguardino la partecipazione alle riunioni dei d</w:t>
      </w:r>
      <w:r>
        <w:rPr>
          <w:rFonts w:ascii="Californian FB" w:eastAsia="Californian FB" w:hAnsi="Californian FB" w:cs="Californian FB"/>
          <w:color w:val="222222"/>
          <w:sz w:val="28"/>
        </w:rPr>
        <w:t>iversi organi dei quali l'amministratore è componente (e per i quali la legge riconosce il diritto ad usufruire dei permessi) sia che attengano alle ulteriori attività politicoamministrative svolte dall'amministratore nel monte ore massimo concessogli dall</w:t>
      </w:r>
      <w:r>
        <w:rPr>
          <w:rFonts w:ascii="Californian FB" w:eastAsia="Californian FB" w:hAnsi="Californian FB" w:cs="Californian FB"/>
          <w:color w:val="222222"/>
          <w:sz w:val="28"/>
        </w:rPr>
        <w:t xml:space="preserve">a legge.  Ciò rende necessario ed indispensabile che le attestazioni indichino con analiticità sia l’effettiva prestazione resa sia l’orario in cui le attività dell’amministratore siano state rese. </w:t>
      </w:r>
      <w:r>
        <w:rPr>
          <w:rFonts w:ascii="Californian FB" w:eastAsia="Californian FB" w:hAnsi="Californian FB" w:cs="Californian FB"/>
          <w:sz w:val="28"/>
        </w:rPr>
        <w:t xml:space="preserve"> </w:t>
      </w:r>
    </w:p>
    <w:p w:rsidR="001824CC" w:rsidRDefault="0001090A">
      <w:pPr>
        <w:numPr>
          <w:ilvl w:val="0"/>
          <w:numId w:val="2"/>
        </w:numPr>
        <w:spacing w:after="51" w:line="350" w:lineRule="auto"/>
        <w:ind w:left="638" w:right="617" w:hanging="370"/>
        <w:jc w:val="both"/>
      </w:pPr>
      <w:r>
        <w:rPr>
          <w:rFonts w:ascii="Californian FB" w:eastAsia="Californian FB" w:hAnsi="Californian FB" w:cs="Californian FB"/>
          <w:color w:val="222222"/>
          <w:sz w:val="28"/>
        </w:rPr>
        <w:t xml:space="preserve">A supporto di tale conclusione si consideri la sentenza </w:t>
      </w:r>
      <w:r>
        <w:rPr>
          <w:rFonts w:ascii="Californian FB" w:eastAsia="Californian FB" w:hAnsi="Californian FB" w:cs="Californian FB"/>
          <w:color w:val="222222"/>
          <w:sz w:val="28"/>
        </w:rPr>
        <w:t>del giudice contabile la quale, benché relativa alla disciplina dei permessi allora contenuta nella legge 27 dicembre 1985, n. 816, di contenuto analogo all'attuale articolo 79 TUEL, recita: «In conclusione, tutti i permessi previsti dall'art. 4 della L. n</w:t>
      </w:r>
      <w:r>
        <w:rPr>
          <w:rFonts w:ascii="Californian FB" w:eastAsia="Californian FB" w:hAnsi="Californian FB" w:cs="Californian FB"/>
          <w:color w:val="222222"/>
          <w:sz w:val="28"/>
        </w:rPr>
        <w:t>. 816/1985, compresi le '24 o 48 ore retribuite di cui al 3° comma del medesimo articolo, devono trovare puntuale riscontro nelle attestazioni dell'Ente presso il quale i permessi stessi vengono fruiti, sì che il diritto a tali permessi resta subordinato a</w:t>
      </w:r>
      <w:r>
        <w:rPr>
          <w:rFonts w:ascii="Californian FB" w:eastAsia="Californian FB" w:hAnsi="Californian FB" w:cs="Californian FB"/>
          <w:color w:val="222222"/>
          <w:sz w:val="28"/>
        </w:rPr>
        <w:t xml:space="preserve">ll'assolvimento degli obblighi di diligenza e documentazione di cui al (ripetuto) art. 16'» </w:t>
      </w:r>
      <w:r>
        <w:rPr>
          <w:rFonts w:ascii="Californian FB" w:eastAsia="Californian FB" w:hAnsi="Californian FB" w:cs="Californian FB"/>
          <w:sz w:val="28"/>
        </w:rPr>
        <w:t xml:space="preserve"> </w:t>
      </w:r>
    </w:p>
    <w:p w:rsidR="001824CC" w:rsidRDefault="0001090A">
      <w:pPr>
        <w:numPr>
          <w:ilvl w:val="0"/>
          <w:numId w:val="2"/>
        </w:numPr>
        <w:spacing w:after="51" w:line="350" w:lineRule="auto"/>
        <w:ind w:left="638" w:right="617" w:hanging="370"/>
        <w:jc w:val="both"/>
      </w:pPr>
      <w:r>
        <w:rPr>
          <w:rFonts w:ascii="Californian FB" w:eastAsia="Californian FB" w:hAnsi="Californian FB" w:cs="Californian FB"/>
          <w:color w:val="222222"/>
          <w:sz w:val="28"/>
        </w:rPr>
        <w:lastRenderedPageBreak/>
        <w:t>Circa gli adempimenti connessi alla fruizione dei permessi, essi si possono suddividere in una fase preventiva finalizzata all'ottenimento dei permessi e in una f</w:t>
      </w:r>
      <w:r>
        <w:rPr>
          <w:rFonts w:ascii="Californian FB" w:eastAsia="Californian FB" w:hAnsi="Californian FB" w:cs="Californian FB"/>
          <w:color w:val="222222"/>
          <w:sz w:val="28"/>
        </w:rPr>
        <w:t xml:space="preserve">ase successiva collegata all'attestazione dei permessi fruiti. </w:t>
      </w:r>
      <w:r>
        <w:rPr>
          <w:rFonts w:ascii="Californian FB" w:eastAsia="Californian FB" w:hAnsi="Californian FB" w:cs="Californian FB"/>
          <w:sz w:val="28"/>
        </w:rPr>
        <w:t xml:space="preserve"> </w:t>
      </w:r>
    </w:p>
    <w:p w:rsidR="001824CC" w:rsidRDefault="0001090A">
      <w:pPr>
        <w:numPr>
          <w:ilvl w:val="0"/>
          <w:numId w:val="2"/>
        </w:numPr>
        <w:spacing w:after="51" w:line="350" w:lineRule="auto"/>
        <w:ind w:left="638" w:right="617" w:hanging="370"/>
        <w:jc w:val="both"/>
      </w:pPr>
      <w:r>
        <w:rPr>
          <w:rFonts w:ascii="Californian FB" w:eastAsia="Californian FB" w:hAnsi="Californian FB" w:cs="Californian FB"/>
          <w:color w:val="222222"/>
          <w:sz w:val="28"/>
        </w:rPr>
        <w:t>Per quanto riguarda gli adempimenti della prima fase, si rileva che, benché tali permessi si configurino come un diritto soggettivo perfetto, non subordinato alla preventiva valutazione discr</w:t>
      </w:r>
      <w:r>
        <w:rPr>
          <w:rFonts w:ascii="Californian FB" w:eastAsia="Californian FB" w:hAnsi="Californian FB" w:cs="Californian FB"/>
          <w:color w:val="222222"/>
          <w:sz w:val="28"/>
        </w:rPr>
        <w:t>ezionale del datore di lavoro, dottrina e giurisprudenza sono concordi nel ritenere che il diritto dell'amministratore locale a fruire dei permessi lavorativi vada contemperato con il diritto dell'ente di appartenenza, con cui l'amministratore ha mantenuto</w:t>
      </w:r>
      <w:r>
        <w:rPr>
          <w:rFonts w:ascii="Californian FB" w:eastAsia="Californian FB" w:hAnsi="Californian FB" w:cs="Californian FB"/>
          <w:color w:val="222222"/>
          <w:sz w:val="28"/>
        </w:rPr>
        <w:t xml:space="preserve"> il rapporto lavorativo, al rispetto delle norme organizzative interne. Ne consegue che il datore di lavoro non può negare il permesso ma potrebbe pretendere, da parte del dipendente, una comunicazione preventiva delle assenze dal servizio e, ove possibile</w:t>
      </w:r>
      <w:r>
        <w:rPr>
          <w:rFonts w:ascii="Californian FB" w:eastAsia="Californian FB" w:hAnsi="Californian FB" w:cs="Californian FB"/>
          <w:color w:val="222222"/>
          <w:sz w:val="28"/>
        </w:rPr>
        <w:t xml:space="preserve">, una pianificazione delle stesse. In tal senso si è espresso il Consiglio di Stato affermando che 'a fronte di tale diritto non si rinviene alcun potere del datore di lavoro di comprimerne l'esercizio per ragioni attinenti all'organizzazione del servizio </w:t>
      </w:r>
      <w:r>
        <w:rPr>
          <w:rFonts w:ascii="Californian FB" w:eastAsia="Californian FB" w:hAnsi="Californian FB" w:cs="Californian FB"/>
          <w:color w:val="222222"/>
          <w:sz w:val="28"/>
        </w:rPr>
        <w:t xml:space="preserve">restando a carico del lavoratore solo l'onere di previa comunicazione dell'assenza e della sua causa giustificatrice. </w:t>
      </w:r>
      <w:r>
        <w:rPr>
          <w:rFonts w:ascii="Californian FB" w:eastAsia="Californian FB" w:hAnsi="Californian FB" w:cs="Californian FB"/>
          <w:sz w:val="28"/>
        </w:rPr>
        <w:t xml:space="preserve"> </w:t>
      </w:r>
    </w:p>
    <w:p w:rsidR="001824CC" w:rsidRDefault="0001090A">
      <w:pPr>
        <w:numPr>
          <w:ilvl w:val="0"/>
          <w:numId w:val="2"/>
        </w:numPr>
        <w:spacing w:after="181" w:line="350" w:lineRule="auto"/>
        <w:ind w:left="638" w:right="617" w:hanging="370"/>
        <w:jc w:val="both"/>
      </w:pPr>
      <w:r>
        <w:rPr>
          <w:rFonts w:ascii="Californian FB" w:eastAsia="Californian FB" w:hAnsi="Californian FB" w:cs="Californian FB"/>
          <w:color w:val="222222"/>
          <w:sz w:val="28"/>
        </w:rPr>
        <w:t xml:space="preserve">Quanto agli adempimenti della seconda fase relativa all'attestazione dei permessi fruiti si evidenzia che le modalità di fruizione dei permessi variano a seconda della tipologia degli stessi. I permessi per la partecipazione alle riunioni degli organi non </w:t>
      </w:r>
      <w:r>
        <w:rPr>
          <w:rFonts w:ascii="Californian FB" w:eastAsia="Californian FB" w:hAnsi="Californian FB" w:cs="Californian FB"/>
          <w:color w:val="222222"/>
          <w:sz w:val="28"/>
        </w:rPr>
        <w:t>sono soggetti a limitazione temporale, mentre i permessi per l'espletamento del mandato sono limitati al monte ore mensile fissato per legge. Nel primo caso dovrà risultare, tramite attestazione dell'Ente, l'ora di inizio della riunione o quella successiva</w:t>
      </w:r>
      <w:r>
        <w:rPr>
          <w:rFonts w:ascii="Californian FB" w:eastAsia="Californian FB" w:hAnsi="Californian FB" w:cs="Californian FB"/>
          <w:color w:val="222222"/>
          <w:sz w:val="28"/>
        </w:rPr>
        <w:t xml:space="preserve"> nel caso in cui l'amministratore sia arrivato in un secondo momento e quella della fine dei lavori o quella, eventualmente precedente, in cui l'interessato si sia definitivamente allontanato. Dovrà, altresì, risultare il tempo impiegato per lo spostamento</w:t>
      </w:r>
      <w:r>
        <w:rPr>
          <w:rFonts w:ascii="Californian FB" w:eastAsia="Californian FB" w:hAnsi="Californian FB" w:cs="Californian FB"/>
          <w:color w:val="222222"/>
          <w:sz w:val="28"/>
        </w:rPr>
        <w:t xml:space="preserve"> da e per il luogo di lavoro. Più precisamente, l'attestazione dovrà fare riferimento alla sola presenza dell'amministratore alle relative riunioni presso l'ente locale e alla durata delle stesse e non invece, ai tempi di percorrenza per il viaggio di anda</w:t>
      </w:r>
      <w:r>
        <w:rPr>
          <w:rFonts w:ascii="Californian FB" w:eastAsia="Californian FB" w:hAnsi="Californian FB" w:cs="Californian FB"/>
          <w:color w:val="222222"/>
          <w:sz w:val="28"/>
        </w:rPr>
        <w:t xml:space="preserve">ta e ritorno che potranno invece essere attestati dallo stesso amministratore con un'autodichiarazione di cui all'art. 47 del DPR 28 dicembre 2000, n. 445, </w:t>
      </w:r>
      <w:r>
        <w:rPr>
          <w:rFonts w:ascii="Californian FB" w:eastAsia="Californian FB" w:hAnsi="Californian FB" w:cs="Californian FB"/>
          <w:color w:val="222222"/>
          <w:sz w:val="28"/>
        </w:rPr>
        <w:lastRenderedPageBreak/>
        <w:t>corredata dalla documentazione, biglietti di viaggio o pedaggi autostradali, eventualmente in posses</w:t>
      </w:r>
      <w:r>
        <w:rPr>
          <w:rFonts w:ascii="Californian FB" w:eastAsia="Californian FB" w:hAnsi="Californian FB" w:cs="Californian FB"/>
          <w:color w:val="222222"/>
          <w:sz w:val="28"/>
        </w:rPr>
        <w:t xml:space="preserve">so. </w:t>
      </w:r>
      <w:r>
        <w:rPr>
          <w:rFonts w:ascii="Californian FB" w:eastAsia="Californian FB" w:hAnsi="Californian FB" w:cs="Californian FB"/>
          <w:sz w:val="28"/>
        </w:rPr>
        <w:t xml:space="preserve"> </w:t>
      </w:r>
    </w:p>
    <w:p w:rsidR="001824CC" w:rsidRDefault="0001090A">
      <w:pPr>
        <w:numPr>
          <w:ilvl w:val="0"/>
          <w:numId w:val="2"/>
        </w:numPr>
        <w:spacing w:after="51" w:line="350" w:lineRule="auto"/>
        <w:ind w:left="638" w:right="617" w:hanging="370"/>
        <w:jc w:val="both"/>
      </w:pPr>
      <w:r>
        <w:rPr>
          <w:rFonts w:ascii="Californian FB" w:eastAsia="Californian FB" w:hAnsi="Californian FB" w:cs="Californian FB"/>
          <w:color w:val="222222"/>
          <w:sz w:val="28"/>
        </w:rPr>
        <w:t xml:space="preserve">Con riferimento, all'attestazione relativa alle ore di permesso per l'espletamento del mandato, relativamente a quelle utilizzate per attività non espressamente documentate agli atti dell'ente, il Ministero dell'Interno ha ritenuto che, in tal caso, </w:t>
      </w:r>
      <w:r>
        <w:rPr>
          <w:rFonts w:ascii="Californian FB" w:eastAsia="Californian FB" w:hAnsi="Californian FB" w:cs="Californian FB"/>
          <w:color w:val="222222"/>
          <w:sz w:val="28"/>
        </w:rPr>
        <w:t>la dichiarazione sostitutiva di atto di notorietà di cui all'articolo 47 del DPR 445/2000, sia idonea a giustificare l'assenza. A tale riguardo, ha affermato che 'la dichiarazione sostitutiva di atto di notorietà di cui all'art. 47 del D.P.R. 28 dicembre 2</w:t>
      </w:r>
      <w:r>
        <w:rPr>
          <w:rFonts w:ascii="Californian FB" w:eastAsia="Californian FB" w:hAnsi="Californian FB" w:cs="Californian FB"/>
          <w:color w:val="222222"/>
          <w:sz w:val="28"/>
        </w:rPr>
        <w:t>000, n. 445, fatte salve le eccezioni espressamente previste per legge, ha la stessa validità legale dell'atto che sostituisce tanto più che, nella fattispecie, tale dichiarazione viene effettuata da un amministratore locale investito di pubbliche funzioni</w:t>
      </w:r>
      <w:r>
        <w:rPr>
          <w:rFonts w:ascii="Californian FB" w:eastAsia="Californian FB" w:hAnsi="Californian FB" w:cs="Californian FB"/>
          <w:color w:val="222222"/>
          <w:sz w:val="28"/>
        </w:rPr>
        <w:t xml:space="preserve">'. </w:t>
      </w:r>
      <w:r>
        <w:rPr>
          <w:rFonts w:ascii="Californian FB" w:eastAsia="Californian FB" w:hAnsi="Californian FB" w:cs="Californian FB"/>
          <w:sz w:val="28"/>
        </w:rPr>
        <w:t xml:space="preserve"> </w:t>
      </w:r>
    </w:p>
    <w:p w:rsidR="001824CC" w:rsidRDefault="0001090A">
      <w:pPr>
        <w:numPr>
          <w:ilvl w:val="0"/>
          <w:numId w:val="2"/>
        </w:numPr>
        <w:spacing w:after="51" w:line="350" w:lineRule="auto"/>
        <w:ind w:left="638" w:right="617" w:hanging="370"/>
        <w:jc w:val="both"/>
      </w:pPr>
      <w:r>
        <w:rPr>
          <w:rFonts w:ascii="Californian FB" w:eastAsia="Californian FB" w:hAnsi="Californian FB" w:cs="Californian FB"/>
          <w:color w:val="222222"/>
          <w:sz w:val="28"/>
        </w:rPr>
        <w:t>Si segnala, tuttavia, la posizione assunta dal Consiglio di Stato, ove si afferma che esiste una stretta correlazione tra gli obblighi inerenti al mandato e la fruibilità dei permessi incidenti nella relazione di dipendenza lavorativa e che il sacrifi</w:t>
      </w:r>
      <w:r>
        <w:rPr>
          <w:rFonts w:ascii="Californian FB" w:eastAsia="Californian FB" w:hAnsi="Californian FB" w:cs="Californian FB"/>
          <w:color w:val="222222"/>
          <w:sz w:val="28"/>
        </w:rPr>
        <w:t>cio imposto al datore di lavoro trova giustificazione nella non volontaria coincidenza dell'impegno nascente dalla carica (convocazione dei consigli ovvero degli organi cui si fa parte), con l'attività subordinata, salva la possibilità di fruire di un mont</w:t>
      </w:r>
      <w:r>
        <w:rPr>
          <w:rFonts w:ascii="Californian FB" w:eastAsia="Californian FB" w:hAnsi="Californian FB" w:cs="Californian FB"/>
          <w:color w:val="222222"/>
          <w:sz w:val="28"/>
        </w:rPr>
        <w:t>e ore (nel limite partecipato dalla norma) per l'esercizio delle altre funzioni che competono in forza della carica medesima, le quali debbono trovare giustificazione nell'attestazione dell'Ente presso il quale viene espletato il mandato, senza che a ciò p</w:t>
      </w:r>
      <w:r>
        <w:rPr>
          <w:rFonts w:ascii="Californian FB" w:eastAsia="Californian FB" w:hAnsi="Californian FB" w:cs="Californian FB"/>
          <w:color w:val="222222"/>
          <w:sz w:val="28"/>
        </w:rPr>
        <w:t>ossa sopperire la dichiarazione dell'interessato e la programmazione personale degli impegni da parte del singolo amministratore.</w:t>
      </w:r>
      <w:r>
        <w:rPr>
          <w:rFonts w:ascii="Californian FB" w:eastAsia="Californian FB" w:hAnsi="Californian FB" w:cs="Californian FB"/>
          <w:sz w:val="28"/>
        </w:rPr>
        <w:t xml:space="preserve"> </w:t>
      </w:r>
    </w:p>
    <w:p w:rsidR="001824CC" w:rsidRDefault="0001090A">
      <w:pPr>
        <w:numPr>
          <w:ilvl w:val="0"/>
          <w:numId w:val="2"/>
        </w:numPr>
        <w:spacing w:after="51" w:line="350" w:lineRule="auto"/>
        <w:ind w:left="638" w:right="617" w:hanging="370"/>
        <w:jc w:val="both"/>
      </w:pPr>
      <w:r>
        <w:rPr>
          <w:rFonts w:ascii="Californian FB" w:eastAsia="Californian FB" w:hAnsi="Californian FB" w:cs="Californian FB"/>
          <w:color w:val="222222"/>
          <w:sz w:val="28"/>
        </w:rPr>
        <w:t>In ogni caso, anche aderendo alla impostazione assunta dalla giurisprudenza, secondo la quale non si può prescindere dall'att</w:t>
      </w:r>
      <w:r>
        <w:rPr>
          <w:rFonts w:ascii="Californian FB" w:eastAsia="Californian FB" w:hAnsi="Californian FB" w:cs="Californian FB"/>
          <w:color w:val="222222"/>
          <w:sz w:val="28"/>
        </w:rPr>
        <w:t>estazione dell'Ente, si può ritenere che, per i permessi relativi all'espletamento del mandato di cui ai commi 4 e 5 dell'articolo 79 TUEL, l'Ente debba richiedere la presentazione da parte dell'interessato di una dichiarazione con la quale lo stesso attes</w:t>
      </w:r>
      <w:r>
        <w:rPr>
          <w:rFonts w:ascii="Californian FB" w:eastAsia="Californian FB" w:hAnsi="Californian FB" w:cs="Californian FB"/>
          <w:color w:val="222222"/>
          <w:sz w:val="28"/>
        </w:rPr>
        <w:t xml:space="preserve">ti giorni, ore e motivi delle attività effettuate mensilmente per l'esercizio del mandato e, sulla base di questa, rilasci la certificazione per il datore di lavoro. </w:t>
      </w:r>
      <w:r>
        <w:rPr>
          <w:rFonts w:ascii="Californian FB" w:eastAsia="Californian FB" w:hAnsi="Californian FB" w:cs="Californian FB"/>
          <w:sz w:val="28"/>
        </w:rPr>
        <w:t xml:space="preserve"> </w:t>
      </w:r>
    </w:p>
    <w:p w:rsidR="001824CC" w:rsidRDefault="0001090A">
      <w:pPr>
        <w:numPr>
          <w:ilvl w:val="0"/>
          <w:numId w:val="2"/>
        </w:numPr>
        <w:spacing w:after="51" w:line="350" w:lineRule="auto"/>
        <w:ind w:left="638" w:right="617" w:hanging="370"/>
        <w:jc w:val="both"/>
      </w:pPr>
      <w:r>
        <w:rPr>
          <w:rFonts w:ascii="Californian FB" w:eastAsia="Californian FB" w:hAnsi="Californian FB" w:cs="Californian FB"/>
          <w:color w:val="222222"/>
          <w:sz w:val="28"/>
        </w:rPr>
        <w:lastRenderedPageBreak/>
        <w:t xml:space="preserve">Ciò non è avvenuto nel caso di specie, ove il rimborso in favore de IL MATTINO </w:t>
      </w:r>
      <w:r>
        <w:rPr>
          <w:rFonts w:ascii="Californian FB" w:eastAsia="Californian FB" w:hAnsi="Californian FB" w:cs="Californian FB"/>
          <w:color w:val="222222"/>
          <w:sz w:val="28"/>
        </w:rPr>
        <w:t>è stato effettuato sulla scorta delle generiche e indeterminate attestazioni del segretario generale del Comune, dr. Onofrio Tartaglione, tutte prive di indicazioni orarie, nelle quali quest’ultimo dichiara “</w:t>
      </w:r>
      <w:r>
        <w:rPr>
          <w:rFonts w:ascii="Californian FB" w:eastAsia="Californian FB" w:hAnsi="Californian FB" w:cs="Californian FB"/>
          <w:b/>
          <w:color w:val="222222"/>
          <w:sz w:val="30"/>
        </w:rPr>
        <w:t>che il sindaco Antonello Velardi in data odierna</w:t>
      </w:r>
      <w:r>
        <w:rPr>
          <w:rFonts w:ascii="Californian FB" w:eastAsia="Californian FB" w:hAnsi="Californian FB" w:cs="Californian FB"/>
          <w:b/>
          <w:color w:val="222222"/>
          <w:sz w:val="30"/>
        </w:rPr>
        <w:t xml:space="preserve"> è stato presente nella sede municipale per l’espletamento del suo mandato</w:t>
      </w:r>
      <w:r>
        <w:rPr>
          <w:rFonts w:ascii="Californian FB" w:eastAsia="Californian FB" w:hAnsi="Californian FB" w:cs="Californian FB"/>
          <w:color w:val="222222"/>
          <w:sz w:val="28"/>
        </w:rPr>
        <w:t xml:space="preserve">”. </w:t>
      </w:r>
      <w:r>
        <w:rPr>
          <w:rFonts w:ascii="Californian FB" w:eastAsia="Californian FB" w:hAnsi="Californian FB" w:cs="Californian FB"/>
          <w:sz w:val="28"/>
        </w:rPr>
        <w:t xml:space="preserve"> </w:t>
      </w:r>
    </w:p>
    <w:p w:rsidR="001824CC" w:rsidRDefault="0001090A">
      <w:pPr>
        <w:numPr>
          <w:ilvl w:val="0"/>
          <w:numId w:val="2"/>
        </w:numPr>
        <w:spacing w:after="7" w:line="350" w:lineRule="auto"/>
        <w:ind w:left="638" w:right="617" w:hanging="370"/>
        <w:jc w:val="both"/>
      </w:pPr>
      <w:r>
        <w:rPr>
          <w:rFonts w:ascii="Californian FB" w:eastAsia="Californian FB" w:hAnsi="Californian FB" w:cs="Californian FB"/>
          <w:color w:val="222222"/>
          <w:sz w:val="28"/>
        </w:rPr>
        <w:t>E’ opinione degli scriventi che Il MATTINO s.p.a. abbia beneficiato di un indebito arricchimento. E’ pur vero che, come si legge in un parere del Consiglio di Stato (parere n. 1</w:t>
      </w:r>
      <w:r>
        <w:rPr>
          <w:rFonts w:ascii="Californian FB" w:eastAsia="Californian FB" w:hAnsi="Californian FB" w:cs="Californian FB"/>
          <w:color w:val="222222"/>
          <w:sz w:val="28"/>
        </w:rPr>
        <w:t>717/96 in data 07.05.1997), il datore di lavoro) non possa esercitare alcuna valutazione dell'opportunità o meno del permesso; essa deve però verificare che l'attestazione dell'Ente corrisponda ai giorni per i quali i permessi sono stati chiesti e che si t</w:t>
      </w:r>
      <w:r>
        <w:rPr>
          <w:rFonts w:ascii="Californian FB" w:eastAsia="Californian FB" w:hAnsi="Californian FB" w:cs="Californian FB"/>
          <w:color w:val="222222"/>
          <w:sz w:val="28"/>
        </w:rPr>
        <w:t>ratti di attività inerente ... (all'espletamento del mandato). Il sistema di affidare l'onere certificativo all'Ente, presso cui il dipendente svolge il mandato elettorale, ed all'Amministrazione (datore di lavoro) di verificare la corrispondenza dell'atte</w:t>
      </w:r>
      <w:r>
        <w:rPr>
          <w:rFonts w:ascii="Californian FB" w:eastAsia="Californian FB" w:hAnsi="Californian FB" w:cs="Californian FB"/>
          <w:color w:val="222222"/>
          <w:sz w:val="28"/>
        </w:rPr>
        <w:t xml:space="preserve">stazione alle previsioni legislative, costituisce, garanzia da ogni forma di limitazione del diritto o di abuso del suo esercizio. </w:t>
      </w:r>
      <w:r>
        <w:rPr>
          <w:rFonts w:ascii="Californian FB" w:eastAsia="Californian FB" w:hAnsi="Californian FB" w:cs="Californian FB"/>
          <w:sz w:val="28"/>
        </w:rPr>
        <w:t xml:space="preserve"> </w:t>
      </w:r>
    </w:p>
    <w:p w:rsidR="001824CC" w:rsidRDefault="0001090A">
      <w:pPr>
        <w:pStyle w:val="Titolo2"/>
        <w:spacing w:after="127"/>
        <w:ind w:left="228" w:right="561"/>
      </w:pPr>
      <w:r>
        <w:t xml:space="preserve">*** </w:t>
      </w:r>
    </w:p>
    <w:p w:rsidR="001824CC" w:rsidRDefault="0001090A">
      <w:pPr>
        <w:spacing w:after="159" w:line="356" w:lineRule="auto"/>
        <w:ind w:left="278" w:right="620" w:hanging="10"/>
        <w:jc w:val="both"/>
      </w:pPr>
      <w:r>
        <w:rPr>
          <w:rFonts w:ascii="Californian FB" w:eastAsia="Californian FB" w:hAnsi="Californian FB" w:cs="Californian FB"/>
          <w:sz w:val="28"/>
        </w:rPr>
        <w:t>Alla luce di quanto narrato, i sottoscritti chiedono alle Autorità in indirizzo, di voler valutare i comportamenti ten</w:t>
      </w:r>
      <w:r>
        <w:rPr>
          <w:rFonts w:ascii="Californian FB" w:eastAsia="Californian FB" w:hAnsi="Californian FB" w:cs="Californian FB"/>
          <w:sz w:val="28"/>
        </w:rPr>
        <w:t>uti e gli atti posti in essere dal signor Velardi Antonello nelle veste di sindaco della comunità di Marcianise e del segretario generale del medesimo Ente, dott. Onofrio Tartaglione, e di verificare se gli stessi siano conformi al dettato normativo di cui</w:t>
      </w:r>
      <w:r>
        <w:rPr>
          <w:rFonts w:ascii="Californian FB" w:eastAsia="Californian FB" w:hAnsi="Californian FB" w:cs="Californian FB"/>
          <w:sz w:val="28"/>
        </w:rPr>
        <w:t xml:space="preserve"> agli artt. 79 e 80 del del D.Lgs. 267/2000 e se gli stessi abbiano determinato un danno erariale alle casse del Comune di Marcianise mediante illegittima attribuzione di permessi retribuiti e di rimborsi a IL MATTINO SPA. con sede legale in via Barberini </w:t>
      </w:r>
      <w:r>
        <w:rPr>
          <w:rFonts w:ascii="Californian FB" w:eastAsia="Californian FB" w:hAnsi="Californian FB" w:cs="Californian FB"/>
          <w:sz w:val="28"/>
        </w:rPr>
        <w:t xml:space="preserve">n.28.   </w:t>
      </w:r>
    </w:p>
    <w:p w:rsidR="001824CC" w:rsidRDefault="0001090A">
      <w:pPr>
        <w:spacing w:after="161" w:line="356" w:lineRule="auto"/>
        <w:ind w:left="278" w:right="620" w:hanging="10"/>
        <w:jc w:val="both"/>
      </w:pPr>
      <w:r>
        <w:rPr>
          <w:rFonts w:ascii="Californian FB" w:eastAsia="Californian FB" w:hAnsi="Californian FB" w:cs="Californian FB"/>
          <w:sz w:val="28"/>
        </w:rPr>
        <w:t>Tale condotta deve ritenersi gravemente colposa posto che, nel rilevare che tutti gli amministratori e dipendenti pubblici (nella specie segretario comunale) abbiano un “dovere rinforzato” di conoscenza delle leggi (ex art. 54 Costituzione), è imp</w:t>
      </w:r>
      <w:r>
        <w:rPr>
          <w:rFonts w:ascii="Californian FB" w:eastAsia="Californian FB" w:hAnsi="Californian FB" w:cs="Californian FB"/>
          <w:sz w:val="28"/>
        </w:rPr>
        <w:t xml:space="preserve">ensabile che chi, come il signor Velardi, voglia beneficiare di permessi retribuiti per </w:t>
      </w:r>
      <w:r>
        <w:rPr>
          <w:rFonts w:ascii="Californian FB" w:eastAsia="Californian FB" w:hAnsi="Californian FB" w:cs="Californian FB"/>
          <w:sz w:val="28"/>
        </w:rPr>
        <w:lastRenderedPageBreak/>
        <w:t xml:space="preserve">l’espletamento del mandato elettorale ponendolo il relativo costo a carico della Comunità, non si periti di accertare il grado di compatibilità dei permessi stessi con </w:t>
      </w:r>
      <w:r>
        <w:rPr>
          <w:rFonts w:ascii="Californian FB" w:eastAsia="Californian FB" w:hAnsi="Californian FB" w:cs="Californian FB"/>
          <w:sz w:val="28"/>
        </w:rPr>
        <w:t xml:space="preserve">il sistema.  </w:t>
      </w:r>
    </w:p>
    <w:p w:rsidR="001824CC" w:rsidRDefault="0001090A">
      <w:pPr>
        <w:spacing w:after="333"/>
        <w:ind w:left="278" w:right="620" w:hanging="10"/>
        <w:jc w:val="both"/>
      </w:pPr>
      <w:r>
        <w:rPr>
          <w:rFonts w:ascii="Californian FB" w:eastAsia="Californian FB" w:hAnsi="Californian FB" w:cs="Californian FB"/>
          <w:sz w:val="28"/>
        </w:rPr>
        <w:t xml:space="preserve">Si allegano: </w:t>
      </w:r>
    </w:p>
    <w:p w:rsidR="001824CC" w:rsidRDefault="0001090A">
      <w:pPr>
        <w:numPr>
          <w:ilvl w:val="0"/>
          <w:numId w:val="3"/>
        </w:numPr>
        <w:spacing w:after="45" w:line="356" w:lineRule="auto"/>
        <w:ind w:right="620" w:hanging="360"/>
        <w:jc w:val="both"/>
      </w:pPr>
      <w:r>
        <w:rPr>
          <w:rFonts w:ascii="Californian FB" w:eastAsia="Californian FB" w:hAnsi="Californian FB" w:cs="Californian FB"/>
          <w:sz w:val="28"/>
        </w:rPr>
        <w:t xml:space="preserve">richieste di rimborso de Il MATTINO s.p.a. dei mesi da giungo 2018 a gennaio 2019;  </w:t>
      </w:r>
    </w:p>
    <w:p w:rsidR="001824CC" w:rsidRDefault="0001090A">
      <w:pPr>
        <w:numPr>
          <w:ilvl w:val="0"/>
          <w:numId w:val="3"/>
        </w:numPr>
        <w:spacing w:after="171"/>
        <w:ind w:right="620" w:hanging="360"/>
        <w:jc w:val="both"/>
      </w:pPr>
      <w:r>
        <w:rPr>
          <w:rFonts w:ascii="Californian FB" w:eastAsia="Californian FB" w:hAnsi="Californian FB" w:cs="Californian FB"/>
          <w:sz w:val="28"/>
        </w:rPr>
        <w:t xml:space="preserve">attestazioni del segretario comunale; </w:t>
      </w:r>
    </w:p>
    <w:p w:rsidR="001824CC" w:rsidRDefault="0001090A">
      <w:pPr>
        <w:numPr>
          <w:ilvl w:val="0"/>
          <w:numId w:val="3"/>
        </w:numPr>
        <w:spacing w:after="174"/>
        <w:ind w:right="620" w:hanging="360"/>
        <w:jc w:val="both"/>
      </w:pPr>
      <w:r>
        <w:rPr>
          <w:rFonts w:ascii="Californian FB" w:eastAsia="Californian FB" w:hAnsi="Californian FB" w:cs="Californian FB"/>
          <w:sz w:val="28"/>
        </w:rPr>
        <w:t xml:space="preserve">deliberazione n.214 del 19/11/2018; </w:t>
      </w:r>
    </w:p>
    <w:p w:rsidR="001824CC" w:rsidRDefault="0001090A">
      <w:pPr>
        <w:numPr>
          <w:ilvl w:val="0"/>
          <w:numId w:val="3"/>
        </w:numPr>
        <w:spacing w:after="45" w:line="356" w:lineRule="auto"/>
        <w:ind w:right="620" w:hanging="360"/>
        <w:jc w:val="both"/>
      </w:pPr>
      <w:r>
        <w:rPr>
          <w:rFonts w:ascii="Californian FB" w:eastAsia="Californian FB" w:hAnsi="Californian FB" w:cs="Californian FB"/>
          <w:sz w:val="28"/>
        </w:rPr>
        <w:t xml:space="preserve">post estratti </w:t>
      </w:r>
      <w:r>
        <w:rPr>
          <w:rFonts w:ascii="Californian FB" w:eastAsia="Californian FB" w:hAnsi="Californian FB" w:cs="Californian FB"/>
          <w:sz w:val="28"/>
        </w:rPr>
        <w:t xml:space="preserve">dal profilo facebook del signor Antonello Velardi nei giorni 15 ottobre 2018, 19/11/2018, 25 gennaio 2019 e 31 gennaio 2019.  </w:t>
      </w:r>
    </w:p>
    <w:p w:rsidR="001824CC" w:rsidRDefault="0001090A">
      <w:pPr>
        <w:numPr>
          <w:ilvl w:val="0"/>
          <w:numId w:val="3"/>
        </w:numPr>
        <w:spacing w:after="287"/>
        <w:ind w:right="620" w:hanging="360"/>
        <w:jc w:val="both"/>
      </w:pPr>
      <w:r>
        <w:rPr>
          <w:rFonts w:ascii="Californian FB" w:eastAsia="Californian FB" w:hAnsi="Californian FB" w:cs="Californian FB"/>
          <w:sz w:val="28"/>
        </w:rPr>
        <w:t xml:space="preserve">Determinazioni di liquidazione dei rimborsi in favore de Il MATTINO SPA.   </w:t>
      </w:r>
    </w:p>
    <w:p w:rsidR="001824CC" w:rsidRDefault="0001090A">
      <w:pPr>
        <w:spacing w:after="179" w:line="356" w:lineRule="auto"/>
        <w:ind w:left="278" w:right="620" w:hanging="10"/>
        <w:jc w:val="both"/>
      </w:pPr>
      <w:r>
        <w:rPr>
          <w:rFonts w:ascii="Californian FB" w:eastAsia="Californian FB" w:hAnsi="Californian FB" w:cs="Californian FB"/>
          <w:sz w:val="28"/>
        </w:rPr>
        <w:t xml:space="preserve">I sottoscritti delegano per il deposito del presente </w:t>
      </w:r>
      <w:r>
        <w:rPr>
          <w:rFonts w:ascii="Californian FB" w:eastAsia="Californian FB" w:hAnsi="Californian FB" w:cs="Californian FB"/>
          <w:sz w:val="28"/>
        </w:rPr>
        <w:t xml:space="preserve">atto  il consigliere Abbate Dario nato a Caserta il 9 aprile 1966.  </w:t>
      </w:r>
    </w:p>
    <w:p w:rsidR="001824CC" w:rsidRDefault="0001090A">
      <w:pPr>
        <w:tabs>
          <w:tab w:val="center" w:pos="1727"/>
          <w:tab w:val="center" w:pos="3824"/>
          <w:tab w:val="center" w:pos="4532"/>
          <w:tab w:val="center" w:pos="5240"/>
          <w:tab w:val="center" w:pos="5949"/>
          <w:tab w:val="center" w:pos="6657"/>
          <w:tab w:val="center" w:pos="7365"/>
          <w:tab w:val="center" w:pos="8073"/>
        </w:tabs>
        <w:spacing w:after="291"/>
      </w:pPr>
      <w:r>
        <w:tab/>
      </w:r>
      <w:r>
        <w:rPr>
          <w:rFonts w:ascii="Californian FB" w:eastAsia="Californian FB" w:hAnsi="Californian FB" w:cs="Californian FB"/>
          <w:sz w:val="28"/>
        </w:rPr>
        <w:t xml:space="preserve">Marcianise, 13 aprile 2019  </w:t>
      </w:r>
      <w:r>
        <w:rPr>
          <w:rFonts w:ascii="Californian FB" w:eastAsia="Californian FB" w:hAnsi="Californian FB" w:cs="Californian FB"/>
          <w:sz w:val="28"/>
        </w:rPr>
        <w:tab/>
        <w:t xml:space="preserve"> </w:t>
      </w:r>
      <w:r>
        <w:rPr>
          <w:rFonts w:ascii="Californian FB" w:eastAsia="Californian FB" w:hAnsi="Californian FB" w:cs="Californian FB"/>
          <w:sz w:val="28"/>
        </w:rPr>
        <w:tab/>
        <w:t xml:space="preserve"> </w:t>
      </w:r>
      <w:r>
        <w:rPr>
          <w:rFonts w:ascii="Californian FB" w:eastAsia="Californian FB" w:hAnsi="Californian FB" w:cs="Californian FB"/>
          <w:sz w:val="28"/>
        </w:rPr>
        <w:tab/>
        <w:t xml:space="preserve"> </w:t>
      </w:r>
      <w:r>
        <w:rPr>
          <w:rFonts w:ascii="Californian FB" w:eastAsia="Californian FB" w:hAnsi="Californian FB" w:cs="Californian FB"/>
          <w:sz w:val="28"/>
        </w:rPr>
        <w:tab/>
        <w:t xml:space="preserve"> </w:t>
      </w:r>
      <w:r>
        <w:rPr>
          <w:rFonts w:ascii="Californian FB" w:eastAsia="Californian FB" w:hAnsi="Californian FB" w:cs="Californian FB"/>
          <w:sz w:val="28"/>
        </w:rPr>
        <w:tab/>
        <w:t xml:space="preserve"> </w:t>
      </w:r>
      <w:r>
        <w:rPr>
          <w:rFonts w:ascii="Californian FB" w:eastAsia="Californian FB" w:hAnsi="Californian FB" w:cs="Californian FB"/>
          <w:sz w:val="28"/>
        </w:rPr>
        <w:tab/>
        <w:t xml:space="preserve"> </w:t>
      </w:r>
      <w:r>
        <w:rPr>
          <w:rFonts w:ascii="Californian FB" w:eastAsia="Californian FB" w:hAnsi="Californian FB" w:cs="Californian FB"/>
          <w:sz w:val="28"/>
        </w:rPr>
        <w:tab/>
        <w:t xml:space="preserve"> </w:t>
      </w:r>
    </w:p>
    <w:p w:rsidR="001824CC" w:rsidRDefault="001824CC">
      <w:pPr>
        <w:spacing w:after="291"/>
        <w:ind w:left="283"/>
      </w:pPr>
      <w:bookmarkStart w:id="0" w:name="_GoBack"/>
      <w:bookmarkEnd w:id="0"/>
    </w:p>
    <w:p w:rsidR="001824CC" w:rsidRDefault="0001090A">
      <w:pPr>
        <w:spacing w:after="0"/>
        <w:ind w:left="283"/>
      </w:pPr>
      <w:r>
        <w:rPr>
          <w:rFonts w:ascii="Californian FB" w:eastAsia="Californian FB" w:hAnsi="Californian FB" w:cs="Californian FB"/>
          <w:sz w:val="28"/>
        </w:rPr>
        <w:t xml:space="preserve"> </w:t>
      </w:r>
    </w:p>
    <w:sectPr w:rsidR="001824CC">
      <w:footerReference w:type="even" r:id="rId30"/>
      <w:footerReference w:type="default" r:id="rId31"/>
      <w:footerReference w:type="first" r:id="rId32"/>
      <w:pgSz w:w="11906" w:h="16838"/>
      <w:pgMar w:top="1416" w:right="504" w:bottom="1270" w:left="850" w:header="720"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90A" w:rsidRDefault="0001090A">
      <w:pPr>
        <w:spacing w:after="0" w:line="240" w:lineRule="auto"/>
      </w:pPr>
      <w:r>
        <w:separator/>
      </w:r>
    </w:p>
  </w:endnote>
  <w:endnote w:type="continuationSeparator" w:id="0">
    <w:p w:rsidR="0001090A" w:rsidRDefault="00010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4CC" w:rsidRDefault="0001090A">
    <w:pPr>
      <w:spacing w:after="0"/>
      <w:ind w:right="344"/>
      <w:jc w:val="center"/>
    </w:pPr>
    <w:r>
      <w:fldChar w:fldCharType="begin"/>
    </w:r>
    <w:r>
      <w:instrText xml:space="preserve"> PAGE   \* MERGEFORMAT </w:instrText>
    </w:r>
    <w:r>
      <w:fldChar w:fldCharType="separate"/>
    </w:r>
    <w:r>
      <w:t>1</w:t>
    </w:r>
    <w:r>
      <w:fldChar w:fldCharType="end"/>
    </w:r>
    <w:r>
      <w:t xml:space="preserve"> </w:t>
    </w:r>
  </w:p>
  <w:p w:rsidR="001824CC" w:rsidRDefault="0001090A">
    <w:pPr>
      <w:spacing w:after="0"/>
      <w:ind w:left="283"/>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4CC" w:rsidRDefault="0001090A">
    <w:pPr>
      <w:spacing w:after="0"/>
      <w:ind w:right="344"/>
      <w:jc w:val="center"/>
    </w:pPr>
    <w:r>
      <w:fldChar w:fldCharType="begin"/>
    </w:r>
    <w:r>
      <w:instrText xml:space="preserve"> PAGE   \* MERGEFORMAT </w:instrText>
    </w:r>
    <w:r>
      <w:fldChar w:fldCharType="separate"/>
    </w:r>
    <w:r w:rsidR="004F0C8D">
      <w:rPr>
        <w:noProof/>
      </w:rPr>
      <w:t>16</w:t>
    </w:r>
    <w:r>
      <w:fldChar w:fldCharType="end"/>
    </w:r>
    <w:r>
      <w:t xml:space="preserve"> </w:t>
    </w:r>
  </w:p>
  <w:p w:rsidR="001824CC" w:rsidRDefault="0001090A">
    <w:pPr>
      <w:spacing w:after="0"/>
      <w:ind w:left="283"/>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4CC" w:rsidRDefault="0001090A">
    <w:pPr>
      <w:spacing w:after="0"/>
      <w:ind w:right="344"/>
      <w:jc w:val="center"/>
    </w:pPr>
    <w:r>
      <w:fldChar w:fldCharType="begin"/>
    </w:r>
    <w:r>
      <w:instrText xml:space="preserve"> PAGE   \* MERGEFORMAT </w:instrText>
    </w:r>
    <w:r>
      <w:fldChar w:fldCharType="separate"/>
    </w:r>
    <w:r>
      <w:t>1</w:t>
    </w:r>
    <w:r>
      <w:fldChar w:fldCharType="end"/>
    </w:r>
    <w:r>
      <w:t xml:space="preserve"> </w:t>
    </w:r>
  </w:p>
  <w:p w:rsidR="001824CC" w:rsidRDefault="0001090A">
    <w:pPr>
      <w:spacing w:after="0"/>
      <w:ind w:left="283"/>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90A" w:rsidRDefault="0001090A">
      <w:pPr>
        <w:spacing w:after="0" w:line="240" w:lineRule="auto"/>
      </w:pPr>
      <w:r>
        <w:separator/>
      </w:r>
    </w:p>
  </w:footnote>
  <w:footnote w:type="continuationSeparator" w:id="0">
    <w:p w:rsidR="0001090A" w:rsidRDefault="000109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13B19"/>
    <w:multiLevelType w:val="hybridMultilevel"/>
    <w:tmpl w:val="E7C075D8"/>
    <w:lvl w:ilvl="0" w:tplc="535A364C">
      <w:start w:val="1"/>
      <w:numFmt w:val="decimal"/>
      <w:lvlText w:val="%1)"/>
      <w:lvlJc w:val="left"/>
      <w:pPr>
        <w:ind w:left="629"/>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1" w:tplc="53683294">
      <w:start w:val="1"/>
      <w:numFmt w:val="lowerLetter"/>
      <w:lvlText w:val="%2"/>
      <w:lvlJc w:val="left"/>
      <w:pPr>
        <w:ind w:left="108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2" w:tplc="A314DD32">
      <w:start w:val="1"/>
      <w:numFmt w:val="lowerRoman"/>
      <w:lvlText w:val="%3"/>
      <w:lvlJc w:val="left"/>
      <w:pPr>
        <w:ind w:left="180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3" w:tplc="70226470">
      <w:start w:val="1"/>
      <w:numFmt w:val="decimal"/>
      <w:lvlText w:val="%4"/>
      <w:lvlJc w:val="left"/>
      <w:pPr>
        <w:ind w:left="252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4" w:tplc="B36E094E">
      <w:start w:val="1"/>
      <w:numFmt w:val="lowerLetter"/>
      <w:lvlText w:val="%5"/>
      <w:lvlJc w:val="left"/>
      <w:pPr>
        <w:ind w:left="324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5" w:tplc="5B0C788E">
      <w:start w:val="1"/>
      <w:numFmt w:val="lowerRoman"/>
      <w:lvlText w:val="%6"/>
      <w:lvlJc w:val="left"/>
      <w:pPr>
        <w:ind w:left="396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6" w:tplc="71FE7DBC">
      <w:start w:val="1"/>
      <w:numFmt w:val="decimal"/>
      <w:lvlText w:val="%7"/>
      <w:lvlJc w:val="left"/>
      <w:pPr>
        <w:ind w:left="468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7" w:tplc="1076EBA2">
      <w:start w:val="1"/>
      <w:numFmt w:val="lowerLetter"/>
      <w:lvlText w:val="%8"/>
      <w:lvlJc w:val="left"/>
      <w:pPr>
        <w:ind w:left="540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8" w:tplc="38BE2C6E">
      <w:start w:val="1"/>
      <w:numFmt w:val="lowerRoman"/>
      <w:lvlText w:val="%9"/>
      <w:lvlJc w:val="left"/>
      <w:pPr>
        <w:ind w:left="612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E370857"/>
    <w:multiLevelType w:val="hybridMultilevel"/>
    <w:tmpl w:val="22663012"/>
    <w:lvl w:ilvl="0" w:tplc="84C279C2">
      <w:start w:val="1"/>
      <w:numFmt w:val="upperRoman"/>
      <w:pStyle w:val="Titolo1"/>
      <w:lvlText w:val="%1"/>
      <w:lvlJc w:val="left"/>
      <w:pPr>
        <w:ind w:left="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F9F9F9"/>
        <w:vertAlign w:val="baseline"/>
      </w:rPr>
    </w:lvl>
    <w:lvl w:ilvl="1" w:tplc="6714EFC2">
      <w:start w:val="1"/>
      <w:numFmt w:val="lowerLetter"/>
      <w:lvlText w:val="%2"/>
      <w:lvlJc w:val="left"/>
      <w:pPr>
        <w:ind w:left="5437"/>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F9F9F9"/>
        <w:vertAlign w:val="baseline"/>
      </w:rPr>
    </w:lvl>
    <w:lvl w:ilvl="2" w:tplc="6F2E9772">
      <w:start w:val="1"/>
      <w:numFmt w:val="lowerRoman"/>
      <w:lvlText w:val="%3"/>
      <w:lvlJc w:val="left"/>
      <w:pPr>
        <w:ind w:left="6157"/>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F9F9F9"/>
        <w:vertAlign w:val="baseline"/>
      </w:rPr>
    </w:lvl>
    <w:lvl w:ilvl="3" w:tplc="8A4AE512">
      <w:start w:val="1"/>
      <w:numFmt w:val="decimal"/>
      <w:lvlText w:val="%4"/>
      <w:lvlJc w:val="left"/>
      <w:pPr>
        <w:ind w:left="6877"/>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F9F9F9"/>
        <w:vertAlign w:val="baseline"/>
      </w:rPr>
    </w:lvl>
    <w:lvl w:ilvl="4" w:tplc="5E52C478">
      <w:start w:val="1"/>
      <w:numFmt w:val="lowerLetter"/>
      <w:lvlText w:val="%5"/>
      <w:lvlJc w:val="left"/>
      <w:pPr>
        <w:ind w:left="7597"/>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F9F9F9"/>
        <w:vertAlign w:val="baseline"/>
      </w:rPr>
    </w:lvl>
    <w:lvl w:ilvl="5" w:tplc="B82ADCB0">
      <w:start w:val="1"/>
      <w:numFmt w:val="lowerRoman"/>
      <w:lvlText w:val="%6"/>
      <w:lvlJc w:val="left"/>
      <w:pPr>
        <w:ind w:left="8317"/>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F9F9F9"/>
        <w:vertAlign w:val="baseline"/>
      </w:rPr>
    </w:lvl>
    <w:lvl w:ilvl="6" w:tplc="DC52F9DA">
      <w:start w:val="1"/>
      <w:numFmt w:val="decimal"/>
      <w:lvlText w:val="%7"/>
      <w:lvlJc w:val="left"/>
      <w:pPr>
        <w:ind w:left="9037"/>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F9F9F9"/>
        <w:vertAlign w:val="baseline"/>
      </w:rPr>
    </w:lvl>
    <w:lvl w:ilvl="7" w:tplc="D820F6E4">
      <w:start w:val="1"/>
      <w:numFmt w:val="lowerLetter"/>
      <w:lvlText w:val="%8"/>
      <w:lvlJc w:val="left"/>
      <w:pPr>
        <w:ind w:left="9757"/>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F9F9F9"/>
        <w:vertAlign w:val="baseline"/>
      </w:rPr>
    </w:lvl>
    <w:lvl w:ilvl="8" w:tplc="41E8BD6A">
      <w:start w:val="1"/>
      <w:numFmt w:val="lowerRoman"/>
      <w:lvlText w:val="%9"/>
      <w:lvlJc w:val="left"/>
      <w:pPr>
        <w:ind w:left="10477"/>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F9F9F9"/>
        <w:vertAlign w:val="baseline"/>
      </w:rPr>
    </w:lvl>
  </w:abstractNum>
  <w:abstractNum w:abstractNumId="2" w15:restartNumberingAfterBreak="0">
    <w:nsid w:val="53B047FD"/>
    <w:multiLevelType w:val="hybridMultilevel"/>
    <w:tmpl w:val="E33ABD66"/>
    <w:lvl w:ilvl="0" w:tplc="634E03D2">
      <w:start w:val="1"/>
      <w:numFmt w:val="decimal"/>
      <w:lvlText w:val="%1)"/>
      <w:lvlJc w:val="left"/>
      <w:pPr>
        <w:ind w:left="1004"/>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1" w:tplc="FE106056">
      <w:start w:val="1"/>
      <w:numFmt w:val="lowerLetter"/>
      <w:lvlText w:val="%2"/>
      <w:lvlJc w:val="left"/>
      <w:pPr>
        <w:ind w:left="144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2" w:tplc="2B20BF8E">
      <w:start w:val="1"/>
      <w:numFmt w:val="lowerRoman"/>
      <w:lvlText w:val="%3"/>
      <w:lvlJc w:val="left"/>
      <w:pPr>
        <w:ind w:left="216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3" w:tplc="4A562820">
      <w:start w:val="1"/>
      <w:numFmt w:val="decimal"/>
      <w:lvlText w:val="%4"/>
      <w:lvlJc w:val="left"/>
      <w:pPr>
        <w:ind w:left="288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4" w:tplc="9AAAD7AE">
      <w:start w:val="1"/>
      <w:numFmt w:val="lowerLetter"/>
      <w:lvlText w:val="%5"/>
      <w:lvlJc w:val="left"/>
      <w:pPr>
        <w:ind w:left="360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5" w:tplc="D31A2B2C">
      <w:start w:val="1"/>
      <w:numFmt w:val="lowerRoman"/>
      <w:lvlText w:val="%6"/>
      <w:lvlJc w:val="left"/>
      <w:pPr>
        <w:ind w:left="432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6" w:tplc="A07AF8BE">
      <w:start w:val="1"/>
      <w:numFmt w:val="decimal"/>
      <w:lvlText w:val="%7"/>
      <w:lvlJc w:val="left"/>
      <w:pPr>
        <w:ind w:left="504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7" w:tplc="55B803F4">
      <w:start w:val="1"/>
      <w:numFmt w:val="lowerLetter"/>
      <w:lvlText w:val="%8"/>
      <w:lvlJc w:val="left"/>
      <w:pPr>
        <w:ind w:left="576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8" w:tplc="F85EC9A6">
      <w:start w:val="1"/>
      <w:numFmt w:val="lowerRoman"/>
      <w:lvlText w:val="%9"/>
      <w:lvlJc w:val="left"/>
      <w:pPr>
        <w:ind w:left="648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A4B1861"/>
    <w:multiLevelType w:val="hybridMultilevel"/>
    <w:tmpl w:val="0A084760"/>
    <w:lvl w:ilvl="0" w:tplc="A938625C">
      <w:start w:val="12"/>
      <w:numFmt w:val="decimal"/>
      <w:lvlText w:val="%1)"/>
      <w:lvlJc w:val="left"/>
      <w:pPr>
        <w:ind w:left="639"/>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1" w:tplc="C11E503A">
      <w:start w:val="1"/>
      <w:numFmt w:val="lowerLetter"/>
      <w:lvlText w:val="%2"/>
      <w:lvlJc w:val="left"/>
      <w:pPr>
        <w:ind w:left="108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2" w:tplc="34DA0420">
      <w:start w:val="1"/>
      <w:numFmt w:val="lowerRoman"/>
      <w:lvlText w:val="%3"/>
      <w:lvlJc w:val="left"/>
      <w:pPr>
        <w:ind w:left="180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3" w:tplc="A318704A">
      <w:start w:val="1"/>
      <w:numFmt w:val="decimal"/>
      <w:lvlText w:val="%4"/>
      <w:lvlJc w:val="left"/>
      <w:pPr>
        <w:ind w:left="252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4" w:tplc="5BF40B9C">
      <w:start w:val="1"/>
      <w:numFmt w:val="lowerLetter"/>
      <w:lvlText w:val="%5"/>
      <w:lvlJc w:val="left"/>
      <w:pPr>
        <w:ind w:left="324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5" w:tplc="B8726DF0">
      <w:start w:val="1"/>
      <w:numFmt w:val="lowerRoman"/>
      <w:lvlText w:val="%6"/>
      <w:lvlJc w:val="left"/>
      <w:pPr>
        <w:ind w:left="396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6" w:tplc="10D069AA">
      <w:start w:val="1"/>
      <w:numFmt w:val="decimal"/>
      <w:lvlText w:val="%7"/>
      <w:lvlJc w:val="left"/>
      <w:pPr>
        <w:ind w:left="468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7" w:tplc="14D2218A">
      <w:start w:val="1"/>
      <w:numFmt w:val="lowerLetter"/>
      <w:lvlText w:val="%8"/>
      <w:lvlJc w:val="left"/>
      <w:pPr>
        <w:ind w:left="540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lvl w:ilvl="8" w:tplc="FA6E0D54">
      <w:start w:val="1"/>
      <w:numFmt w:val="lowerRoman"/>
      <w:lvlText w:val="%9"/>
      <w:lvlJc w:val="left"/>
      <w:pPr>
        <w:ind w:left="6120"/>
      </w:pPr>
      <w:rPr>
        <w:rFonts w:ascii="Californian FB" w:eastAsia="Californian FB" w:hAnsi="Californian FB" w:cs="Californian FB"/>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CC"/>
    <w:rsid w:val="0001090A"/>
    <w:rsid w:val="001824CC"/>
    <w:rsid w:val="004F0C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97033"/>
  <w15:docId w15:val="{67F32B2C-2BE4-4B78-9777-DEF4554E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unhideWhenUsed/>
    <w:qFormat/>
    <w:pPr>
      <w:keepNext/>
      <w:keepLines/>
      <w:numPr>
        <w:numId w:val="4"/>
      </w:numPr>
      <w:spacing w:after="175"/>
      <w:ind w:right="343"/>
      <w:jc w:val="center"/>
      <w:outlineLvl w:val="0"/>
    </w:pPr>
    <w:rPr>
      <w:rFonts w:ascii="Californian FB" w:eastAsia="Californian FB" w:hAnsi="Californian FB" w:cs="Californian FB"/>
      <w:color w:val="000000"/>
      <w:sz w:val="28"/>
      <w:shd w:val="clear" w:color="auto" w:fill="F9F9F9"/>
    </w:rPr>
  </w:style>
  <w:style w:type="paragraph" w:styleId="Titolo2">
    <w:name w:val="heading 2"/>
    <w:next w:val="Normale"/>
    <w:link w:val="Titolo2Carattere"/>
    <w:uiPriority w:val="9"/>
    <w:unhideWhenUsed/>
    <w:qFormat/>
    <w:pPr>
      <w:keepNext/>
      <w:keepLines/>
      <w:spacing w:after="91"/>
      <w:ind w:left="7833" w:hanging="10"/>
      <w:jc w:val="center"/>
      <w:outlineLvl w:val="1"/>
    </w:pPr>
    <w:rPr>
      <w:rFonts w:ascii="Californian FB" w:eastAsia="Californian FB" w:hAnsi="Californian FB" w:cs="Californian FB"/>
      <w:color w:val="000000"/>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Californian FB" w:eastAsia="Californian FB" w:hAnsi="Californian FB" w:cs="Californian FB"/>
      <w:color w:val="000000"/>
      <w:sz w:val="28"/>
    </w:rPr>
  </w:style>
  <w:style w:type="character" w:customStyle="1" w:styleId="Titolo1Carattere">
    <w:name w:val="Titolo 1 Carattere"/>
    <w:link w:val="Titolo1"/>
    <w:rPr>
      <w:rFonts w:ascii="Californian FB" w:eastAsia="Californian FB" w:hAnsi="Californian FB" w:cs="Californian FB"/>
      <w:color w:val="000000"/>
      <w:sz w:val="28"/>
      <w:shd w:val="clear" w:color="auto" w:fill="F9F9F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00.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80.jpg"/><Relationship Id="rId25" Type="http://schemas.openxmlformats.org/officeDocument/2006/relationships/image" Target="media/image120.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jpg"/><Relationship Id="rId20" Type="http://schemas.openxmlformats.org/officeDocument/2006/relationships/image" Target="media/image90.jpg"/><Relationship Id="rId29" Type="http://schemas.openxmlformats.org/officeDocument/2006/relationships/image" Target="media/image14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10.jp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3.jpg"/><Relationship Id="rId28" Type="http://schemas.openxmlformats.org/officeDocument/2006/relationships/image" Target="media/image130.jpg"/><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2545</Words>
  <Characters>14512</Characters>
  <Application>Microsoft Office Word</Application>
  <DocSecurity>0</DocSecurity>
  <Lines>120</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Abbate</dc:creator>
  <cp:keywords/>
  <cp:lastModifiedBy>user</cp:lastModifiedBy>
  <cp:revision>2</cp:revision>
  <dcterms:created xsi:type="dcterms:W3CDTF">2019-04-15T16:45:00Z</dcterms:created>
  <dcterms:modified xsi:type="dcterms:W3CDTF">2019-04-15T16:45:00Z</dcterms:modified>
</cp:coreProperties>
</file>