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otnotes.xml" ContentType="application/vnd.openxmlformats-officedocument.wordprocessingml.footnot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hanging="0" w:start="0"/>
        <w:jc w:val="center"/>
        <w:rPr>
          <w:rFonts w:ascii="TimesNewRomanPS-BoldMT" w:hAnsi="TimesNewRomanPS-BoldMT"/>
          <w:b/>
          <w:color w:val="000000"/>
          <w:sz w:val="28"/>
          <w:u w:val="none"/>
        </w:rPr>
      </w:pPr>
      <w:r>
        <w:rPr>
          <w:b/>
          <w:bCs/>
          <w:sz w:val="40"/>
          <w:szCs w:val="40"/>
        </w:rPr>
        <w:t xml:space="preserve">GRUPPO CONSILIARE </w:t>
        <w:br/>
        <w:t>“Carinaro in Avanti”</w:t>
      </w:r>
    </w:p>
    <w:p>
      <w:pPr>
        <w:pStyle w:val="Default"/>
        <w:ind w:hanging="0" w:start="5672"/>
        <w:rPr>
          <w:rFonts w:ascii="TimesNewRomanPS-BoldMT" w:hAnsi="TimesNewRomanPS-BoldMT"/>
          <w:b/>
          <w:bCs/>
          <w:color w:val="040404"/>
          <w:sz w:val="40"/>
          <w:szCs w:val="40"/>
          <w:u w:val="none"/>
        </w:rPr>
      </w:pPr>
      <w:r>
        <w:rPr>
          <w:rFonts w:ascii="TimesNewRomanPS-BoldMT" w:hAnsi="TimesNewRomanPS-BoldMT"/>
          <w:b/>
          <w:bCs/>
          <w:color w:val="040404"/>
          <w:sz w:val="40"/>
          <w:szCs w:val="40"/>
          <w:u w:val="none"/>
        </w:rPr>
      </w:r>
    </w:p>
    <w:p>
      <w:pPr>
        <w:pStyle w:val="Default"/>
        <w:ind w:hanging="0" w:start="5672"/>
        <w:rPr>
          <w:b/>
          <w:bCs/>
        </w:rPr>
      </w:pPr>
      <w:r>
        <w:rPr>
          <w:b/>
          <w:bCs/>
        </w:rPr>
      </w:r>
    </w:p>
    <w:p>
      <w:pPr>
        <w:pStyle w:val="Default"/>
        <w:ind w:hanging="0" w:start="5672"/>
        <w:rPr>
          <w:b w:val="false"/>
          <w:bCs w:val="false"/>
        </w:rPr>
      </w:pPr>
      <w:r>
        <w:rPr>
          <w:b w:val="false"/>
          <w:bCs w:val="false"/>
        </w:rPr>
        <w:t>Carinaro, 20 luglio 2026</w:t>
      </w:r>
    </w:p>
    <w:p>
      <w:pPr>
        <w:pStyle w:val="Default"/>
        <w:ind w:hanging="0" w:start="5672"/>
        <w:rPr>
          <w:b/>
          <w:bCs/>
        </w:rPr>
      </w:pPr>
      <w:r>
        <w:rPr>
          <w:b/>
          <w:bCs/>
        </w:rPr>
      </w:r>
    </w:p>
    <w:p>
      <w:pPr>
        <w:pStyle w:val="Default"/>
        <w:ind w:hanging="0" w:start="5672"/>
        <w:rPr>
          <w:b/>
          <w:bCs/>
        </w:rPr>
      </w:pPr>
      <w:r>
        <w:rPr>
          <w:b/>
          <w:bCs/>
        </w:rPr>
        <w:t>Al Segretario comunale</w:t>
      </w:r>
    </w:p>
    <w:p>
      <w:pPr>
        <w:pStyle w:val="Default"/>
        <w:ind w:hanging="0" w:start="5672"/>
        <w:rPr>
          <w:b/>
          <w:bCs/>
        </w:rPr>
      </w:pPr>
      <w:r>
        <w:rPr>
          <w:b/>
          <w:bCs/>
        </w:rPr>
        <w:t>dott. Salvatore Capoluongo</w:t>
      </w:r>
    </w:p>
    <w:p>
      <w:pPr>
        <w:pStyle w:val="Default"/>
        <w:ind w:hanging="0" w:start="5672"/>
        <w:rPr>
          <w:b/>
          <w:bCs/>
        </w:rPr>
      </w:pPr>
      <w:r>
        <w:rPr>
          <w:b/>
          <w:bCs/>
        </w:rPr>
      </w:r>
    </w:p>
    <w:p>
      <w:pPr>
        <w:pStyle w:val="Default"/>
        <w:rPr/>
      </w:pPr>
      <w:r>
        <w:rPr/>
      </w:r>
    </w:p>
    <w:p>
      <w:pPr>
        <w:pStyle w:val="Default"/>
        <w:rPr/>
      </w:pPr>
      <w:r>
        <w:rPr>
          <w:b/>
          <w:bCs/>
        </w:rPr>
        <w:t>Oggetto</w:t>
      </w:r>
      <w:r>
        <w:rPr/>
        <w:t>: invito all’esercizio delle funzioni assegnate da</w:t>
      </w:r>
      <w:r>
        <w:rPr/>
        <w:t xml:space="preserve">lla </w:t>
      </w:r>
      <w:r>
        <w:rPr/>
        <w:t xml:space="preserve">legge e </w:t>
      </w:r>
      <w:r>
        <w:rPr/>
        <w:t>dal piano anticorruzione.</w:t>
      </w:r>
    </w:p>
    <w:p>
      <w:pPr>
        <w:pStyle w:val="Default"/>
        <w:rPr/>
      </w:pPr>
      <w:r>
        <w:rPr/>
      </w:r>
    </w:p>
    <w:p>
      <w:pPr>
        <w:pStyle w:val="Default"/>
        <w:rPr/>
      </w:pPr>
      <w:r>
        <w:rPr/>
      </w:r>
    </w:p>
    <w:p>
      <w:pPr>
        <w:pStyle w:val="Default"/>
        <w:rPr/>
      </w:pPr>
      <w:r>
        <w:rPr/>
      </w:r>
    </w:p>
    <w:p>
      <w:pPr>
        <w:pStyle w:val="Default"/>
        <w:rPr>
          <w:b/>
          <w:bCs/>
        </w:rPr>
      </w:pPr>
      <w:r>
        <w:rPr>
          <w:b/>
          <w:bCs/>
        </w:rPr>
        <w:t>Egregio segretario,</w:t>
      </w:r>
    </w:p>
    <w:p>
      <w:pPr>
        <w:pStyle w:val="Default"/>
        <w:rPr/>
      </w:pPr>
      <w:r>
        <w:rPr/>
      </w:r>
    </w:p>
    <w:p>
      <w:pPr>
        <w:pStyle w:val="Default"/>
        <w:rPr/>
      </w:pPr>
      <w:r>
        <w:rPr/>
        <w:t xml:space="preserve">gli scriventi consiglieri comunali del </w:t>
      </w:r>
      <w:r>
        <w:rPr>
          <w:b/>
          <w:bCs/>
        </w:rPr>
        <w:t>gruppo “Carinaro in Avanti” Stefano Masi, Concetta della Volpe, Mario Moretti, Anna Torino</w:t>
      </w:r>
    </w:p>
    <w:p>
      <w:pPr>
        <w:pStyle w:val="Default"/>
        <w:rPr/>
      </w:pPr>
      <w:r>
        <w:rPr/>
      </w:r>
    </w:p>
    <w:p>
      <w:pPr>
        <w:pStyle w:val="Default"/>
        <w:rPr>
          <w:b/>
          <w:bCs/>
        </w:rPr>
      </w:pPr>
      <w:r>
        <w:rPr>
          <w:b/>
          <w:bCs/>
        </w:rPr>
        <w:t>Premesso che:</w:t>
      </w:r>
    </w:p>
    <w:p>
      <w:pPr>
        <w:pStyle w:val="Default"/>
        <w:rPr/>
      </w:pPr>
      <w:r>
        <w:rPr/>
      </w:r>
    </w:p>
    <w:p>
      <w:pPr>
        <w:pStyle w:val="Default"/>
        <w:numPr>
          <w:ilvl w:val="0"/>
          <w:numId w:val="1"/>
        </w:numPr>
        <w:spacing w:lineRule="auto" w:line="360"/>
        <w:rPr/>
      </w:pPr>
      <w:r>
        <w:rPr/>
        <w:t>con delibera di giunta n. 16 del 02.08.2024 veniva conferito un incarico di collaborazione ex art. 5, comma 9, D.L. n. 95/2012 e s.m.i., ad un ex dipendente comunale andato in pensione;</w:t>
      </w:r>
    </w:p>
    <w:p>
      <w:pPr>
        <w:pStyle w:val="Default"/>
        <w:numPr>
          <w:ilvl w:val="0"/>
          <w:numId w:val="1"/>
        </w:numPr>
        <w:spacing w:lineRule="auto" w:line="360"/>
        <w:jc w:val="both"/>
        <w:rPr/>
      </w:pPr>
      <w:r>
        <w:rPr/>
        <w:t xml:space="preserve">la delibera, sia consentito, era risibilmente motivata, tenuto conto che l’ex dipendente, veniva qualificato </w:t>
      </w:r>
      <w:r>
        <w:rPr>
          <w:i w:val="false"/>
          <w:iCs w:val="false"/>
        </w:rPr>
        <w:t>come</w:t>
      </w:r>
      <w:r>
        <w:rPr>
          <w:i/>
          <w:iCs/>
        </w:rPr>
        <w:t xml:space="preserve"> esperto in materie giuridiche e amministrative </w:t>
      </w:r>
      <w:r>
        <w:rPr>
          <w:i w:val="false"/>
          <w:iCs w:val="false"/>
        </w:rPr>
        <w:t>e, pertanto, veniva destinato</w:t>
      </w:r>
      <w:r>
        <w:rPr>
          <w:i/>
          <w:iCs/>
        </w:rPr>
        <w:t xml:space="preserve"> a supporto dell’intera struttura dell’Ente, </w:t>
      </w:r>
      <w:r>
        <w:rPr>
          <w:i w:val="false"/>
          <w:iCs w:val="false"/>
        </w:rPr>
        <w:t>nonché</w:t>
      </w:r>
      <w:r>
        <w:rPr>
          <w:i/>
          <w:iCs/>
        </w:rPr>
        <w:t xml:space="preserve"> </w:t>
      </w:r>
      <w:r>
        <w:rPr>
          <w:i w:val="false"/>
          <w:iCs w:val="false"/>
        </w:rPr>
        <w:t xml:space="preserve">destinato ad </w:t>
      </w:r>
      <w:r>
        <w:rPr>
          <w:i/>
          <w:iCs/>
        </w:rPr>
        <w:t xml:space="preserve">agevolare l’inserimento del nuovo Segretario </w:t>
      </w:r>
      <w:r>
        <w:rPr>
          <w:i w:val="false"/>
          <w:iCs w:val="false"/>
        </w:rPr>
        <w:t>(</w:t>
      </w:r>
      <w:r>
        <w:rPr>
          <w:i w:val="false"/>
          <w:iCs w:val="false"/>
        </w:rPr>
        <w:t xml:space="preserve">al tempo </w:t>
      </w:r>
      <w:r>
        <w:rPr>
          <w:i w:val="false"/>
          <w:iCs w:val="false"/>
        </w:rPr>
        <w:t>in servizio presso l’Ente da circa un anno e iscritto all’albo dei segretari sin dal 25.01.2000);</w:t>
      </w:r>
    </w:p>
    <w:p>
      <w:pPr>
        <w:pStyle w:val="Default"/>
        <w:numPr>
          <w:ilvl w:val="0"/>
          <w:numId w:val="1"/>
        </w:numPr>
        <w:spacing w:lineRule="auto" w:line="360"/>
        <w:jc w:val="both"/>
        <w:rPr/>
      </w:pPr>
      <w:r>
        <w:rPr>
          <w:i w:val="false"/>
          <w:iCs w:val="false"/>
        </w:rPr>
        <w:t xml:space="preserve">sia la delibera giuntale che l’allegato contratto (quest’ultimo solo con riferimento all’Area Affari Generali) assegnavano al funzionario compiti quali </w:t>
      </w:r>
      <w:r>
        <w:rPr>
          <w:i w:val="false"/>
          <w:iCs w:val="false"/>
          <w:color w:val="000000"/>
        </w:rPr>
        <w:t xml:space="preserve">consulenza (attività quest’ultima non consentita dalla normativa richiamata), oltre che </w:t>
      </w:r>
      <w:r>
        <w:rPr>
          <w:color w:val="000000"/>
        </w:rPr>
        <w:t>assistenza, tutoraggio ed affiancamento</w:t>
      </w:r>
      <w:r>
        <w:rPr>
          <w:rStyle w:val="FootnoteReference"/>
          <w:color w:val="000000"/>
        </w:rPr>
        <w:footnoteReference w:id="2"/>
      </w:r>
      <w:r>
        <w:rPr>
          <w:color w:val="000000"/>
        </w:rPr>
        <w:t xml:space="preserve"> al personale nella predisposizione degli atti e dei </w:t>
      </w:r>
      <w:r>
        <w:rPr>
          <w:i w:val="false"/>
          <w:iCs w:val="false"/>
          <w:color w:val="000000"/>
        </w:rPr>
        <w:t>provvedimenti amministrativi;</w:t>
      </w:r>
    </w:p>
    <w:p>
      <w:pPr>
        <w:pStyle w:val="Default"/>
        <w:numPr>
          <w:ilvl w:val="0"/>
          <w:numId w:val="1"/>
        </w:numPr>
        <w:spacing w:lineRule="auto" w:line="360"/>
        <w:jc w:val="both"/>
        <w:rPr>
          <w:rFonts w:ascii="Times New Roman" w:hAnsi="Times New Roman"/>
          <w:i w:val="false"/>
          <w:i w:val="false"/>
          <w:iCs w:val="false"/>
          <w:color w:val="000000"/>
        </w:rPr>
      </w:pPr>
      <w:r>
        <w:rPr>
          <w:i w:val="false"/>
          <w:iCs w:val="false"/>
          <w:color w:val="000000"/>
        </w:rPr>
        <w:t>con delibera di giunta n. 79</w:t>
      </w:r>
      <w:r>
        <w:rPr>
          <w:rStyle w:val="FootnoteReference"/>
          <w:i w:val="false"/>
          <w:iCs w:val="false"/>
          <w:color w:val="000000"/>
        </w:rPr>
        <w:footnoteReference w:id="3"/>
      </w:r>
      <w:r>
        <w:rPr>
          <w:i w:val="false"/>
          <w:iCs w:val="false"/>
          <w:color w:val="000000"/>
        </w:rPr>
        <w:t xml:space="preserve"> del 01.10.2025 il predetto incarico veniva rinnovato, per un ulteriore anno, tenuto conto che: a) l’Ente è stato ritenuto in carenza di personale; b) i vincoli di finanza pubblica impedivano nell’immediato il reclutamento di nuovo personale; c) il supporto tecnico fino a quel momento fornito avrebbe garantito la continuità operativa dell’Ente;</w:t>
      </w:r>
    </w:p>
    <w:p>
      <w:pPr>
        <w:pStyle w:val="Default"/>
        <w:numPr>
          <w:ilvl w:val="0"/>
          <w:numId w:val="1"/>
        </w:numPr>
        <w:spacing w:lineRule="auto" w:line="360"/>
        <w:jc w:val="both"/>
        <w:rPr/>
      </w:pPr>
      <w:r>
        <w:rPr>
          <w:rFonts w:eastAsia="Songti SC" w:cs="Arial Unicode MS"/>
          <w:kern w:val="2"/>
          <w:sz w:val="24"/>
          <w:szCs w:val="24"/>
          <w:lang w:val="it-IT" w:eastAsia="zh-CN" w:bidi="hi-IN"/>
        </w:rPr>
        <w:t>la parte motiva di tale ultima delibera giuntale, se possibile, gareggia degnamente con la precedente quanto ad assenza dei presupposti, tenuto conto che già con atto giuntale n. 51 del 22.05.2025 era stata deliberata l’imminente assunzione proprio nell’area amministrativa</w:t>
      </w:r>
      <w:r>
        <w:rPr>
          <w:rStyle w:val="FootnoteReference"/>
          <w:rFonts w:eastAsia="Songti SC" w:cs="Arial Unicode MS"/>
          <w:kern w:val="2"/>
          <w:sz w:val="24"/>
          <w:szCs w:val="24"/>
          <w:lang w:val="it-IT" w:eastAsia="zh-CN" w:bidi="hi-IN"/>
        </w:rPr>
        <w:footnoteReference w:id="4"/>
      </w:r>
      <w:r>
        <w:rPr>
          <w:rFonts w:eastAsia="Songti SC" w:cs="Arial Unicode MS"/>
          <w:kern w:val="2"/>
          <w:sz w:val="24"/>
          <w:szCs w:val="24"/>
          <w:lang w:val="it-IT" w:eastAsia="zh-CN" w:bidi="hi-IN"/>
        </w:rPr>
        <w:t>;</w:t>
      </w:r>
    </w:p>
    <w:p>
      <w:pPr>
        <w:pStyle w:val="Default"/>
        <w:numPr>
          <w:ilvl w:val="0"/>
          <w:numId w:val="0"/>
        </w:numPr>
        <w:spacing w:lineRule="auto" w:line="360"/>
        <w:ind w:hanging="0" w:start="720"/>
        <w:jc w:val="both"/>
        <w:rPr>
          <w:rFonts w:eastAsia="Songti SC" w:cs="Arial Unicode MS"/>
          <w:kern w:val="2"/>
          <w:sz w:val="24"/>
          <w:szCs w:val="24"/>
          <w:lang w:val="it-IT" w:eastAsia="zh-CN" w:bidi="hi-IN"/>
        </w:rPr>
      </w:pPr>
      <w:r>
        <w:rPr>
          <w:rFonts w:eastAsia="Songti SC" w:cs="Arial Unicode MS"/>
          <w:b/>
          <w:bCs/>
          <w:color w:val="000000"/>
          <w:kern w:val="2"/>
          <w:sz w:val="24"/>
          <w:szCs w:val="24"/>
          <w:lang w:val="it-IT" w:eastAsia="zh-CN" w:bidi="hi-IN"/>
        </w:rPr>
        <w:t>PREMESSO INOLTRE</w:t>
      </w:r>
    </w:p>
    <w:p>
      <w:pPr>
        <w:pStyle w:val="Default"/>
        <w:numPr>
          <w:ilvl w:val="0"/>
          <w:numId w:val="1"/>
        </w:numPr>
        <w:spacing w:lineRule="auto" w:line="360"/>
        <w:jc w:val="both"/>
        <w:rPr>
          <w:rFonts w:ascii="Times New Roman" w:hAnsi="Times New Roman" w:eastAsia="Songti SC" w:cs="Arial Unicode MS"/>
          <w:b w:val="false"/>
          <w:bCs w:val="false"/>
          <w:color w:val="000000"/>
          <w:kern w:val="2"/>
          <w:sz w:val="24"/>
          <w:szCs w:val="24"/>
          <w:lang w:val="it-IT" w:eastAsia="zh-CN" w:bidi="hi-IN"/>
        </w:rPr>
      </w:pPr>
      <w:r>
        <w:rPr>
          <w:rFonts w:eastAsia="Songti SC" w:cs="Arial Unicode MS"/>
          <w:b w:val="false"/>
          <w:bCs w:val="false"/>
          <w:color w:val="000000"/>
          <w:kern w:val="2"/>
          <w:sz w:val="24"/>
          <w:szCs w:val="24"/>
          <w:lang w:val="it-IT" w:eastAsia="zh-CN" w:bidi="hi-IN"/>
        </w:rPr>
        <w:t>l’ex dipendente oggi contrattualizzato, in verità, da quello che ci risulta per conoscenza diretta, non si limita ad intervenire su chiamata dei dipendenti dell’area amministrativa che hanno la necessità di un parere o un supporto ma, sin dall’inizio del suo incarico, riveste un ruolo quasi da direttore generale</w:t>
      </w:r>
      <w:r>
        <w:rPr>
          <w:rStyle w:val="FootnoteReference"/>
          <w:rFonts w:eastAsia="Songti SC" w:cs="Arial Unicode MS"/>
          <w:b w:val="false"/>
          <w:bCs w:val="false"/>
          <w:color w:val="000000"/>
          <w:kern w:val="2"/>
          <w:sz w:val="24"/>
          <w:szCs w:val="24"/>
          <w:lang w:val="it-IT" w:eastAsia="zh-CN" w:bidi="hi-IN"/>
        </w:rPr>
        <w:footnoteReference w:id="5"/>
      </w:r>
      <w:r>
        <w:rPr>
          <w:rFonts w:eastAsia="Songti SC" w:cs="Arial Unicode MS"/>
          <w:b w:val="false"/>
          <w:bCs w:val="false"/>
          <w:color w:val="000000"/>
          <w:kern w:val="2"/>
          <w:sz w:val="24"/>
          <w:szCs w:val="24"/>
          <w:lang w:val="it-IT" w:eastAsia="zh-CN" w:bidi="hi-IN"/>
        </w:rPr>
        <w:t xml:space="preserve">, </w:t>
      </w:r>
      <w:r>
        <w:rPr>
          <w:rFonts w:eastAsia="Songti SC" w:cs="Arial Unicode MS"/>
          <w:b w:val="false"/>
          <w:bCs w:val="false"/>
          <w:color w:val="000000"/>
          <w:kern w:val="2"/>
          <w:sz w:val="24"/>
          <w:szCs w:val="24"/>
          <w:lang w:val="it-IT" w:eastAsia="zh-CN" w:bidi="hi-IN"/>
        </w:rPr>
        <w:t>i</w:t>
      </w:r>
      <w:r>
        <w:rPr>
          <w:rFonts w:eastAsia="Songti SC" w:cs="Arial Unicode MS"/>
          <w:b w:val="false"/>
          <w:bCs w:val="false"/>
          <w:color w:val="000000"/>
          <w:kern w:val="2"/>
          <w:sz w:val="24"/>
          <w:szCs w:val="24"/>
          <w:lang w:val="it-IT" w:eastAsia="zh-CN" w:bidi="hi-IN"/>
        </w:rPr>
        <w:t xml:space="preserve">n particolare </w:t>
      </w:r>
      <w:r>
        <w:rPr>
          <w:rFonts w:eastAsia="Songti SC" w:cs="Arial Unicode MS"/>
          <w:b w:val="false"/>
          <w:bCs w:val="false"/>
          <w:color w:val="000000"/>
          <w:kern w:val="2"/>
          <w:sz w:val="24"/>
          <w:szCs w:val="24"/>
          <w:lang w:val="it-IT" w:eastAsia="zh-CN" w:bidi="hi-IN"/>
        </w:rPr>
        <w:t>dell’area amministrativa, impartendo ordini e direttive verbali, interfacciandosi a nome dell’amministrazione con cittadini o operatori, pubblici e privati, operando da mediatore nei casi di problemi/conflitti tra dipendenti o amministratori;</w:t>
      </w:r>
    </w:p>
    <w:p>
      <w:pPr>
        <w:pStyle w:val="Default"/>
        <w:numPr>
          <w:ilvl w:val="0"/>
          <w:numId w:val="1"/>
        </w:numPr>
        <w:spacing w:lineRule="auto" w:line="360"/>
        <w:jc w:val="both"/>
        <w:rPr>
          <w:rFonts w:ascii="Times New Roman" w:hAnsi="Times New Roman" w:eastAsia="Songti SC" w:cs="Arial Unicode MS"/>
          <w:b w:val="false"/>
          <w:bCs w:val="false"/>
          <w:color w:val="000000"/>
          <w:kern w:val="2"/>
          <w:sz w:val="24"/>
          <w:szCs w:val="24"/>
          <w:lang w:val="it-IT" w:eastAsia="zh-CN" w:bidi="hi-IN"/>
        </w:rPr>
      </w:pPr>
      <w:r>
        <w:rPr>
          <w:rFonts w:eastAsia="Songti SC" w:cs="Arial Unicode MS"/>
          <w:b w:val="false"/>
          <w:bCs w:val="false"/>
          <w:color w:val="000000"/>
          <w:kern w:val="2"/>
          <w:sz w:val="24"/>
          <w:szCs w:val="24"/>
          <w:lang w:val="it-IT" w:eastAsia="zh-CN" w:bidi="hi-IN"/>
        </w:rPr>
        <w:t>si tratta, in breve, di un ruolo certamente tecnico ma anche largamente politico, in ogni caso differente da quello assegnato dagli atti ufficiali del comune di Carinaro e comunque non consentito dalla legge, quanto meno nei termini in cui esso è in concreto espletato;</w:t>
      </w:r>
    </w:p>
    <w:p>
      <w:pPr>
        <w:pStyle w:val="Default"/>
        <w:numPr>
          <w:ilvl w:val="0"/>
          <w:numId w:val="1"/>
        </w:numPr>
        <w:spacing w:lineRule="auto" w:line="360"/>
        <w:jc w:val="both"/>
        <w:rPr>
          <w:rFonts w:ascii="Times New Roman" w:hAnsi="Times New Roman" w:eastAsia="Songti SC" w:cs="Arial Unicode MS"/>
          <w:b w:val="false"/>
          <w:bCs w:val="false"/>
          <w:color w:val="000000"/>
          <w:kern w:val="2"/>
          <w:sz w:val="24"/>
          <w:szCs w:val="24"/>
          <w:lang w:val="it-IT" w:eastAsia="zh-CN" w:bidi="hi-IN"/>
        </w:rPr>
      </w:pPr>
      <w:r>
        <w:rPr>
          <w:rFonts w:eastAsia="Songti SC" w:cs="Arial Unicode MS"/>
          <w:b w:val="false"/>
          <w:bCs w:val="false"/>
          <w:color w:val="000000"/>
          <w:kern w:val="2"/>
          <w:sz w:val="24"/>
          <w:szCs w:val="24"/>
          <w:lang w:val="it-IT" w:eastAsia="zh-CN" w:bidi="hi-IN"/>
        </w:rPr>
        <w:t>è bene chiarire che tali circostanze a Carinaro sono diventate il segreto di Pulcinella, davvero in pochi infatti non sanno che per qualsiasi cosa attenga all’area amministrativa bisogna “passare” per tale ex dipendente in quanto egli non consiglia ma decide;</w:t>
      </w:r>
    </w:p>
    <w:p>
      <w:pPr>
        <w:pStyle w:val="Default"/>
        <w:numPr>
          <w:ilvl w:val="0"/>
          <w:numId w:val="1"/>
        </w:numPr>
        <w:spacing w:lineRule="auto" w:line="360"/>
        <w:jc w:val="both"/>
        <w:rPr>
          <w:rFonts w:ascii="Times New Roman" w:hAnsi="Times New Roman" w:eastAsia="Songti SC" w:cs="Arial Unicode MS"/>
          <w:b w:val="false"/>
          <w:bCs w:val="false"/>
          <w:color w:val="000000"/>
          <w:kern w:val="2"/>
          <w:sz w:val="24"/>
          <w:szCs w:val="24"/>
          <w:lang w:val="it-IT" w:eastAsia="zh-CN" w:bidi="hi-IN"/>
        </w:rPr>
      </w:pPr>
      <w:r>
        <w:rPr>
          <w:rFonts w:eastAsia="Songti SC" w:cs="Arial Unicode MS"/>
          <w:b w:val="false"/>
          <w:bCs w:val="false"/>
          <w:color w:val="000000"/>
          <w:kern w:val="2"/>
          <w:sz w:val="24"/>
          <w:szCs w:val="24"/>
          <w:lang w:val="it-IT" w:eastAsia="zh-CN" w:bidi="hi-IN"/>
        </w:rPr>
        <w:t xml:space="preserve"> </w:t>
      </w:r>
      <w:r>
        <w:rPr>
          <w:rFonts w:eastAsia="Songti SC" w:cs="Arial Unicode MS"/>
          <w:b w:val="false"/>
          <w:bCs w:val="false"/>
          <w:color w:val="000000"/>
          <w:kern w:val="2"/>
          <w:sz w:val="24"/>
          <w:szCs w:val="24"/>
          <w:lang w:val="it-IT" w:eastAsia="zh-CN" w:bidi="hi-IN"/>
        </w:rPr>
        <w:t>oltre tutto tale ruolo è esercitato alla luce del sole, nella Piazza del paese, al comune con i dipendenti, o con coloro che sono/sono stati impegnati presso l’Ente per il servizio civile o il progetto Goal; gli unici a non essersene accorti, pertanto, sono proprio coloro che per legge o funzione dovrebbero controllare.</w:t>
      </w:r>
    </w:p>
    <w:p>
      <w:pPr>
        <w:pStyle w:val="Default"/>
        <w:numPr>
          <w:ilvl w:val="0"/>
          <w:numId w:val="0"/>
        </w:numPr>
        <w:spacing w:lineRule="auto" w:line="360"/>
        <w:ind w:hanging="0" w:start="720"/>
        <w:jc w:val="both"/>
        <w:rPr>
          <w:rFonts w:ascii="Times New Roman" w:hAnsi="Times New Roman" w:eastAsia="Songti SC" w:cs="Arial Unicode MS"/>
          <w:b/>
          <w:bCs/>
          <w:color w:val="000000"/>
          <w:kern w:val="2"/>
          <w:sz w:val="24"/>
          <w:szCs w:val="24"/>
          <w:lang w:val="it-IT" w:eastAsia="zh-CN" w:bidi="hi-IN"/>
        </w:rPr>
      </w:pPr>
      <w:r>
        <w:rPr>
          <w:rFonts w:eastAsia="Songti SC" w:cs="Arial Unicode MS"/>
          <w:b/>
          <w:bCs/>
          <w:color w:val="000000"/>
          <w:kern w:val="2"/>
          <w:sz w:val="24"/>
          <w:szCs w:val="24"/>
          <w:lang w:val="it-IT" w:eastAsia="zh-CN" w:bidi="hi-IN"/>
        </w:rPr>
        <w:t>PREMESSO INOLTRE</w:t>
      </w:r>
    </w:p>
    <w:p>
      <w:pPr>
        <w:pStyle w:val="Default"/>
        <w:numPr>
          <w:ilvl w:val="0"/>
          <w:numId w:val="1"/>
        </w:numPr>
        <w:spacing w:lineRule="auto" w:line="360"/>
        <w:jc w:val="both"/>
        <w:rPr>
          <w:b w:val="false"/>
          <w:bCs w:val="false"/>
        </w:rPr>
      </w:pPr>
      <w:r>
        <w:rPr>
          <w:b w:val="false"/>
          <w:bCs w:val="false"/>
        </w:rPr>
        <w:t xml:space="preserve">tali circostanze sono così note a tutti che nel mese di gennaio, nella cassetta postale di molti cittadini politicamente esposti, tra cui i sottoscritti consiglieri, è stata recapitata una lettera anonima che riporta tali fatti </w:t>
      </w:r>
      <w:r>
        <w:rPr>
          <w:b/>
          <w:bCs/>
          <w:u w:val="single"/>
        </w:rPr>
        <w:t>oltre a molte altre circostanze ancora più gravi e allarmanti</w:t>
      </w:r>
      <w:r>
        <w:rPr>
          <w:b w:val="false"/>
          <w:bCs w:val="false"/>
        </w:rPr>
        <w:t xml:space="preserve">; </w:t>
      </w:r>
    </w:p>
    <w:p>
      <w:pPr>
        <w:pStyle w:val="Default"/>
        <w:numPr>
          <w:ilvl w:val="0"/>
          <w:numId w:val="1"/>
        </w:numPr>
        <w:spacing w:lineRule="auto" w:line="360"/>
        <w:jc w:val="both"/>
        <w:rPr/>
      </w:pPr>
      <w:r>
        <w:rPr>
          <w:b w:val="false"/>
          <w:bCs w:val="false"/>
        </w:rPr>
        <w:t>tale lettera ci risulta sia stata recapitata anche ad alcuni/molti componenti della maggioranza e sarebbe stata presa molto sul serio dalle parti dell’amministrazione, se è vero come è vero che il sindaco di Carinaro l’</w:t>
      </w:r>
      <w:r>
        <w:rPr>
          <w:b w:val="false"/>
          <w:bCs w:val="false"/>
        </w:rPr>
        <w:t>avrebbe</w:t>
      </w:r>
      <w:r>
        <w:rPr>
          <w:b w:val="false"/>
          <w:bCs w:val="false"/>
        </w:rPr>
        <w:t xml:space="preserve"> trasmessa alla locale stazione dei carabinieri di Gricignano di Aversa, a mezzo del protocollo comunale.</w:t>
      </w:r>
    </w:p>
    <w:p>
      <w:pPr>
        <w:pStyle w:val="Default"/>
        <w:numPr>
          <w:ilvl w:val="0"/>
          <w:numId w:val="0"/>
        </w:numPr>
        <w:spacing w:lineRule="auto" w:line="360"/>
        <w:ind w:hanging="0" w:start="720"/>
        <w:jc w:val="both"/>
        <w:rPr>
          <w:b/>
          <w:bCs/>
        </w:rPr>
      </w:pPr>
      <w:r>
        <w:rPr>
          <w:b/>
          <w:bCs/>
        </w:rPr>
        <w:t>PREMESSO INFINE</w:t>
      </w:r>
    </w:p>
    <w:p>
      <w:pPr>
        <w:pStyle w:val="Default"/>
        <w:numPr>
          <w:ilvl w:val="0"/>
          <w:numId w:val="1"/>
        </w:numPr>
        <w:spacing w:lineRule="auto" w:line="360"/>
        <w:jc w:val="both"/>
        <w:rPr>
          <w:b w:val="false"/>
          <w:bCs w:val="false"/>
        </w:rPr>
      </w:pPr>
      <w:r>
        <w:rPr>
          <w:b w:val="false"/>
          <w:bCs w:val="false"/>
        </w:rPr>
        <w:t>a oltre 6 mesi dalla trasmissione della lettera anonima ai carabinieri nulla ci risulta esser cambiato rispetto a quanto in essa denunciato, tenuto che l’ex dipendente comunale ha sostanzialmente continuato ad agire indisturbato, con evidenti e diffuse omissioni di coloro che sarebbero chiamati a svolgere funzioni di controllo nell’area amministrativa o, più in generale, nell’Ente;</w:t>
      </w:r>
    </w:p>
    <w:p>
      <w:pPr>
        <w:pStyle w:val="Default"/>
        <w:numPr>
          <w:ilvl w:val="0"/>
          <w:numId w:val="1"/>
        </w:numPr>
        <w:spacing w:lineRule="auto" w:line="360"/>
        <w:jc w:val="both"/>
        <w:rPr/>
      </w:pPr>
      <w:r>
        <w:rPr>
          <w:b w:val="false"/>
        </w:rPr>
        <w:t xml:space="preserve">al segretario comunale, ex art. 97 co.4 del Dlgs 267/2000,  è assegnata la funzione di  sovraintendere allo svolgimento delle funzioni dei dirigenti e, con decreto n. 14/2024, adottato ai sensi della della lettera d) del predetto art. 97, è stato anche assegnato il ruolo RPCT nonché di soggetto competente ad adottare i poteri sostitutivi in caso di inerzia; </w:t>
      </w:r>
      <w:r>
        <w:rPr>
          <w:rFonts w:ascii="Titillium Web" w:hAnsi="Titillium Web"/>
          <w:b w:val="false"/>
          <w:i w:val="false"/>
          <w:caps w:val="false"/>
          <w:smallCaps w:val="false"/>
          <w:color w:val="191919"/>
          <w:spacing w:val="0"/>
          <w:sz w:val="27"/>
        </w:rPr>
        <w:t xml:space="preserve"> </w:t>
      </w:r>
    </w:p>
    <w:p>
      <w:pPr>
        <w:pStyle w:val="Default"/>
        <w:numPr>
          <w:ilvl w:val="0"/>
          <w:numId w:val="0"/>
        </w:numPr>
        <w:spacing w:lineRule="auto" w:line="360"/>
        <w:ind w:hanging="0" w:start="720"/>
        <w:jc w:val="both"/>
        <w:rPr>
          <w:b/>
          <w:bCs/>
        </w:rPr>
      </w:pPr>
      <w:r>
        <w:rPr>
          <w:b/>
          <w:bCs/>
        </w:rPr>
        <w:t xml:space="preserve">TUTTO CIO’ PREMESSO </w:t>
      </w:r>
    </w:p>
    <w:p>
      <w:pPr>
        <w:pStyle w:val="Default"/>
        <w:numPr>
          <w:ilvl w:val="0"/>
          <w:numId w:val="0"/>
        </w:numPr>
        <w:spacing w:lineRule="auto" w:line="360"/>
        <w:ind w:hanging="0" w:start="720"/>
        <w:jc w:val="both"/>
        <w:rPr>
          <w:b w:val="false"/>
          <w:bCs w:val="false"/>
        </w:rPr>
      </w:pPr>
      <w:r>
        <w:rPr>
          <w:b w:val="false"/>
          <w:bCs w:val="false"/>
        </w:rPr>
        <w:t>gli scriventi consiglieri comunali</w:t>
      </w:r>
    </w:p>
    <w:p>
      <w:pPr>
        <w:pStyle w:val="Default"/>
        <w:numPr>
          <w:ilvl w:val="0"/>
          <w:numId w:val="0"/>
        </w:numPr>
        <w:spacing w:lineRule="auto" w:line="360"/>
        <w:ind w:hanging="0" w:start="720"/>
        <w:jc w:val="center"/>
        <w:rPr>
          <w:b/>
          <w:bCs/>
        </w:rPr>
      </w:pPr>
      <w:r>
        <w:rPr>
          <w:b/>
          <w:bCs/>
        </w:rPr>
        <w:t>CHIEDONO</w:t>
      </w:r>
    </w:p>
    <w:p>
      <w:pPr>
        <w:pStyle w:val="Default"/>
        <w:numPr>
          <w:ilvl w:val="0"/>
          <w:numId w:val="0"/>
        </w:numPr>
        <w:spacing w:lineRule="auto" w:line="360"/>
        <w:ind w:hanging="0" w:start="720"/>
        <w:jc w:val="both"/>
        <w:rPr>
          <w:b w:val="false"/>
          <w:bCs w:val="false"/>
        </w:rPr>
      </w:pPr>
      <w:r>
        <w:rPr>
          <w:b/>
          <w:bCs/>
        </w:rPr>
        <w:t xml:space="preserve">A) </w:t>
      </w:r>
      <w:r>
        <w:rPr>
          <w:b w:val="false"/>
          <w:bCs w:val="false"/>
        </w:rPr>
        <w:t xml:space="preserve">di sapere se il segretario comunale è a conoscenza o meno delle reali modalità con cui l’incarico ex art. 5, comma 9, D.L. n. 95/2012 e s.m.i. </w:t>
      </w:r>
      <w:r>
        <w:rPr>
          <w:b w:val="false"/>
          <w:bCs w:val="false"/>
        </w:rPr>
        <w:t>assegnato all’ex dipendente</w:t>
      </w:r>
      <w:r>
        <w:rPr>
          <w:b w:val="false"/>
          <w:bCs w:val="false"/>
        </w:rPr>
        <w:t xml:space="preserve"> è stato in concreto fino ad oggi espletato;</w:t>
      </w:r>
    </w:p>
    <w:p>
      <w:pPr>
        <w:pStyle w:val="Default"/>
        <w:numPr>
          <w:ilvl w:val="0"/>
          <w:numId w:val="0"/>
        </w:numPr>
        <w:spacing w:lineRule="auto" w:line="360"/>
        <w:ind w:hanging="0" w:start="720"/>
        <w:jc w:val="both"/>
        <w:rPr>
          <w:b w:val="false"/>
          <w:bCs w:val="false"/>
        </w:rPr>
      </w:pPr>
      <w:r>
        <w:rPr>
          <w:b/>
          <w:bCs/>
        </w:rPr>
        <w:t>B)</w:t>
      </w:r>
      <w:r>
        <w:rPr>
          <w:b w:val="false"/>
          <w:bCs w:val="false"/>
        </w:rPr>
        <w:t xml:space="preserve"> di sapere se il segretario comunale era a conoscenza o meno del contenuto della lettera anonima </w:t>
      </w:r>
      <w:r>
        <w:rPr>
          <w:b w:val="false"/>
          <w:bCs w:val="false"/>
        </w:rPr>
        <w:t>e della sua trasmissione ai carabinieri da parte del sindaco</w:t>
      </w:r>
      <w:r>
        <w:rPr>
          <w:b w:val="false"/>
          <w:bCs w:val="false"/>
        </w:rPr>
        <w:t>;</w:t>
      </w:r>
    </w:p>
    <w:p>
      <w:pPr>
        <w:pStyle w:val="Default"/>
        <w:numPr>
          <w:ilvl w:val="0"/>
          <w:numId w:val="0"/>
        </w:numPr>
        <w:spacing w:lineRule="auto" w:line="360"/>
        <w:ind w:hanging="0" w:start="720"/>
        <w:jc w:val="both"/>
        <w:rPr>
          <w:b w:val="false"/>
          <w:bCs w:val="false"/>
        </w:rPr>
      </w:pPr>
      <w:r>
        <w:rPr>
          <w:b/>
          <w:bCs/>
        </w:rPr>
        <w:t xml:space="preserve">C) </w:t>
      </w:r>
      <w:r>
        <w:rPr>
          <w:b w:val="false"/>
          <w:bCs w:val="false"/>
        </w:rPr>
        <w:t xml:space="preserve">di sapere, in caso affermativo di cui alla precedente lettera B), se sono stati auditi i dipendenti dell’Area per acquisire </w:t>
      </w:r>
      <w:r>
        <w:rPr>
          <w:b w:val="false"/>
          <w:bCs w:val="false"/>
        </w:rPr>
        <w:t xml:space="preserve">le </w:t>
      </w:r>
      <w:r>
        <w:rPr>
          <w:b w:val="false"/>
          <w:bCs w:val="false"/>
        </w:rPr>
        <w:t xml:space="preserve">informazioni </w:t>
      </w:r>
      <w:r>
        <w:rPr>
          <w:b w:val="false"/>
          <w:bCs w:val="false"/>
        </w:rPr>
        <w:t xml:space="preserve">necessarie e </w:t>
      </w:r>
      <w:r>
        <w:rPr>
          <w:b w:val="false"/>
          <w:bCs w:val="false"/>
        </w:rPr>
        <w:t>quali azioni sono state intraprese per ripristinare lo stato di legalità violato;</w:t>
      </w:r>
    </w:p>
    <w:p>
      <w:pPr>
        <w:pStyle w:val="Default"/>
        <w:numPr>
          <w:ilvl w:val="0"/>
          <w:numId w:val="0"/>
        </w:numPr>
        <w:spacing w:lineRule="auto" w:line="360"/>
        <w:ind w:hanging="0" w:start="720"/>
        <w:jc w:val="both"/>
        <w:rPr>
          <w:b w:val="false"/>
          <w:bCs w:val="false"/>
        </w:rPr>
      </w:pPr>
      <w:r>
        <w:rPr>
          <w:b/>
          <w:bCs/>
        </w:rPr>
        <w:t>D)</w:t>
      </w:r>
      <w:r>
        <w:rPr>
          <w:b w:val="false"/>
          <w:bCs w:val="false"/>
        </w:rPr>
        <w:t xml:space="preserve"> di sapere, in caso negativo di cui alla precedente lettera B), quali sono le azioni che s’intende intraprendere;</w:t>
      </w:r>
    </w:p>
    <w:p>
      <w:pPr>
        <w:pStyle w:val="Default"/>
        <w:numPr>
          <w:ilvl w:val="0"/>
          <w:numId w:val="0"/>
        </w:numPr>
        <w:spacing w:lineRule="auto" w:line="360"/>
        <w:ind w:hanging="0" w:start="720"/>
        <w:jc w:val="both"/>
        <w:rPr>
          <w:b w:val="false"/>
          <w:bCs w:val="false"/>
        </w:rPr>
      </w:pPr>
      <w:r>
        <w:rPr>
          <w:b/>
          <w:bCs/>
        </w:rPr>
        <w:t>F)</w:t>
      </w:r>
      <w:r>
        <w:rPr>
          <w:b w:val="false"/>
          <w:bCs w:val="false"/>
        </w:rPr>
        <w:t xml:space="preserve"> di sapere se è intendimento de</w:t>
      </w:r>
      <w:r>
        <w:rPr>
          <w:b w:val="false"/>
          <w:bCs w:val="false"/>
        </w:rPr>
        <w:t>l Segretario comunale</w:t>
      </w:r>
      <w:r>
        <w:rPr>
          <w:b w:val="false"/>
          <w:bCs w:val="false"/>
        </w:rPr>
        <w:t xml:space="preserve"> quello di audire gli scriventi consiglieri comunali, al fine di acquisire </w:t>
      </w:r>
      <w:r>
        <w:rPr>
          <w:b w:val="false"/>
          <w:bCs w:val="false"/>
        </w:rPr>
        <w:t>ulteriori</w:t>
      </w:r>
      <w:r>
        <w:rPr>
          <w:b w:val="false"/>
          <w:bCs w:val="false"/>
        </w:rPr>
        <w:t xml:space="preserve"> informazioni in relazione ai fatti denunciati.</w:t>
      </w:r>
    </w:p>
    <w:p>
      <w:pPr>
        <w:pStyle w:val="Default"/>
        <w:jc w:val="start"/>
        <w:rPr>
          <w:strike w:val="false"/>
          <w:dstrike w:val="false"/>
          <w:sz w:val="22"/>
          <w:u w:val="none"/>
        </w:rPr>
      </w:pPr>
      <w:r>
        <w:rPr>
          <w:strike w:val="false"/>
          <w:dstrike w:val="false"/>
          <w:sz w:val="22"/>
          <w:u w:val="none"/>
        </w:rPr>
      </w:r>
    </w:p>
    <w:p>
      <w:pPr>
        <w:pStyle w:val="Default"/>
        <w:jc w:val="start"/>
        <w:rPr>
          <w:strike w:val="false"/>
          <w:dstrike w:val="false"/>
          <w:sz w:val="22"/>
          <w:u w:val="none"/>
        </w:rPr>
      </w:pPr>
      <w:r>
        <w:rPr>
          <w:strike w:val="false"/>
          <w:dstrike w:val="false"/>
          <w:sz w:val="22"/>
          <w:u w:val="none"/>
        </w:rPr>
      </w:r>
    </w:p>
    <w:p>
      <w:pPr>
        <w:pStyle w:val="Normal"/>
        <w:bidi w:val="0"/>
        <w:spacing w:lineRule="auto" w:line="360"/>
        <w:ind w:hanging="0" w:start="0"/>
        <w:jc w:val="center"/>
        <w:rPr>
          <w:rFonts w:ascii="Garamond" w:hAnsi="Garamond"/>
          <w:b/>
          <w:bCs/>
        </w:rPr>
      </w:pPr>
      <w:r>
        <w:rPr>
          <w:rFonts w:ascii="Garamond" w:hAnsi="Garamond"/>
          <w:b/>
          <w:bCs/>
        </w:rPr>
        <w:t>I consiglieri del gruppo “Carinaro in Avanti”</w:t>
      </w:r>
    </w:p>
    <w:p>
      <w:pPr>
        <w:pStyle w:val="Normal"/>
        <w:bidi w:val="0"/>
        <w:spacing w:lineRule="auto" w:line="360"/>
        <w:ind w:hanging="0" w:start="0"/>
        <w:jc w:val="center"/>
        <w:rPr>
          <w:rFonts w:ascii="Garamond" w:hAnsi="Garamond"/>
          <w:b/>
          <w:bCs/>
        </w:rPr>
      </w:pPr>
      <w:r>
        <w:rPr>
          <w:rFonts w:ascii="Garamond" w:hAnsi="Garamond"/>
          <w:b/>
          <w:bCs/>
          <w:strike w:val="false"/>
          <w:dstrike w:val="false"/>
          <w:sz w:val="22"/>
          <w:u w:val="none"/>
        </w:rPr>
        <w:t>Stefano Masi            Concetta della Volpe           Mario Moretti            Anna Torino</w:t>
      </w:r>
    </w:p>
    <w:p>
      <w:pPr>
        <w:pStyle w:val="Normal"/>
        <w:jc w:val="start"/>
        <w:rPr>
          <w:strike w:val="false"/>
          <w:dstrike w:val="false"/>
          <w:sz w:val="22"/>
          <w:u w:val="none"/>
        </w:rPr>
      </w:pPr>
      <w:r>
        <w:rPr/>
      </w:r>
    </w:p>
    <w:sectPr>
      <w:footerReference w:type="default" r:id="rId2"/>
      <w:footnotePr>
        <w:numFmt w:val="decimal"/>
      </w:footnotePr>
      <w:type w:val="nextPage"/>
      <w:pgSz w:w="11906" w:h="16838"/>
      <w:pgMar w:left="1134" w:right="1134" w:gutter="0" w:header="0" w:top="1134"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1" w:characterSet="utf-8"/>
    <w:family w:val="roman"/>
    <w:pitch w:val="variable"/>
  </w:font>
  <w:font w:name="Liberation Sans">
    <w:altName w:val="Arial"/>
    <w:charset w:val="01" w:characterSet="utf-8"/>
    <w:family w:val="swiss"/>
    <w:pitch w:val="variable"/>
  </w:font>
  <w:font w:name="Times New Roman">
    <w:charset w:val="01" w:characterSet="utf-8"/>
    <w:family w:val="roman"/>
    <w:pitch w:val="variable"/>
  </w:font>
  <w:font w:name="TimesNewRomanPS-BoldMT">
    <w:charset w:val="01" w:characterSet="utf-8"/>
    <w:family w:val="roman"/>
    <w:pitch w:val="variable"/>
  </w:font>
  <w:font w:name="Titillium Web">
    <w:charset w:val="01" w:characterSet="utf-8"/>
    <w:family w:val="roman"/>
    <w:pitch w:val="variable"/>
  </w:font>
  <w:font w:name="Garamond">
    <w:charset w:val="01" w:characterSet="utf-8"/>
    <w:family w:val="roman"/>
    <w:pitch w:val="variable"/>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0" w:name="PageNumWizard_FOOTER_Default_Page_Style3"/>
    <w:r>
      <w:rPr/>
      <w:fldChar w:fldCharType="begin"/>
    </w:r>
    <w:r>
      <w:rPr/>
      <w:instrText xml:space="preserve"> PAGE </w:instrText>
    </w:r>
    <w:r>
      <w:rPr/>
      <w:fldChar w:fldCharType="separate"/>
    </w:r>
    <w:r>
      <w:rPr/>
      <w:t>2</w:t>
    </w:r>
    <w:r>
      <w:rPr/>
      <w:fldChar w:fldCharType="end"/>
    </w:r>
    <w:bookmarkEnd w:id="0"/>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bidi w:val="0"/>
        <w:jc w:val="start"/>
        <w:rPr/>
      </w:pPr>
      <w:r>
        <w:rPr>
          <w:rStyle w:val="FootnoteCharacters"/>
        </w:rPr>
        <w:footnoteRef/>
      </w:r>
      <w:r>
        <w:rPr>
          <w:sz w:val="18"/>
          <w:szCs w:val="18"/>
        </w:rPr>
        <w:tab/>
        <w:t xml:space="preserve"> </w:t>
      </w:r>
      <w:r>
        <w:rPr>
          <w:sz w:val="18"/>
          <w:szCs w:val="18"/>
        </w:rPr>
        <w:t>Attività tipicamente rivolte al sostegno dei neoassunti, non presenti al momento di adozione delle delibere.</w:t>
      </w:r>
    </w:p>
  </w:footnote>
  <w:footnote w:id="3">
    <w:p>
      <w:pPr>
        <w:pStyle w:val="FootnoteText"/>
        <w:bidi w:val="0"/>
        <w:jc w:val="start"/>
        <w:rPr/>
      </w:pPr>
      <w:r>
        <w:rPr>
          <w:rStyle w:val="FootnoteCharacters"/>
        </w:rPr>
        <w:footnoteRef/>
      </w:r>
      <w:r>
        <w:rPr>
          <w:sz w:val="18"/>
          <w:szCs w:val="18"/>
        </w:rPr>
        <w:tab/>
        <w:t xml:space="preserve"> </w:t>
      </w:r>
      <w:r>
        <w:rPr>
          <w:sz w:val="18"/>
          <w:szCs w:val="18"/>
        </w:rPr>
        <w:t>Nella delibera n. 79/2025, si noti, il ruolo assegnato sembra quello di una sorta di jolly dell’area amministrativa.</w:t>
      </w:r>
    </w:p>
  </w:footnote>
  <w:footnote w:id="4">
    <w:p>
      <w:pPr>
        <w:pStyle w:val="FootnoteText"/>
        <w:suppressLineNumbers/>
        <w:bidi w:val="0"/>
        <w:ind w:hanging="340" w:start="340"/>
        <w:jc w:val="start"/>
        <w:rPr/>
      </w:pPr>
      <w:r>
        <w:rPr>
          <w:rStyle w:val="FootnoteCharacters"/>
        </w:rPr>
        <w:footnoteRef/>
      </w:r>
      <w:r>
        <w:rPr/>
        <w:tab/>
        <w:t xml:space="preserve"> </w:t>
      </w:r>
      <w:r>
        <w:rPr>
          <w:sz w:val="18"/>
          <w:szCs w:val="18"/>
        </w:rPr>
        <w:t>Assunzione la cui procedura è stata avviata con determina dirigenziale n. 763 del 31.10.2025 e conclusa prima del 31.12.2025.</w:t>
      </w:r>
    </w:p>
  </w:footnote>
  <w:footnote w:id="5">
    <w:p>
      <w:pPr>
        <w:pStyle w:val="Normal"/>
        <w:bidi w:val="0"/>
        <w:jc w:val="both"/>
        <w:rPr>
          <w:rFonts w:ascii="Times New Roman" w:hAnsi="Times New Roman"/>
          <w:b/>
          <w:i w:val="false"/>
          <w:i w:val="false"/>
          <w:caps w:val="false"/>
          <w:smallCaps w:val="false"/>
          <w:strike w:val="false"/>
          <w:dstrike w:val="false"/>
          <w:color w:val="444444"/>
          <w:spacing w:val="0"/>
          <w:sz w:val="21"/>
          <w:u w:val="none"/>
        </w:rPr>
      </w:pPr>
      <w:r>
        <w:rPr>
          <w:rStyle w:val="FootnoteCharacters"/>
        </w:rPr>
        <w:footnoteRef/>
      </w:r>
      <w:r>
        <w:rPr>
          <w:rFonts w:ascii="Times New Roman" w:hAnsi="Times New Roman"/>
          <w:b w:val="false"/>
          <w:i w:val="false"/>
          <w:caps w:val="false"/>
          <w:smallCaps w:val="false"/>
          <w:strike w:val="false"/>
          <w:dstrike w:val="false"/>
          <w:color w:val="444444"/>
          <w:spacing w:val="0"/>
          <w:sz w:val="24"/>
          <w:u w:val="none"/>
        </w:rPr>
        <w:t xml:space="preserve"> </w:t>
      </w:r>
      <w:r>
        <w:rPr>
          <w:rFonts w:ascii="Times New Roman" w:hAnsi="Times New Roman"/>
          <w:b w:val="false"/>
          <w:i w:val="false"/>
          <w:caps w:val="false"/>
          <w:smallCaps w:val="false"/>
          <w:strike w:val="false"/>
          <w:dstrike w:val="false"/>
          <w:color w:val="444444"/>
          <w:spacing w:val="0"/>
          <w:sz w:val="18"/>
          <w:szCs w:val="18"/>
          <w:u w:val="none"/>
        </w:rPr>
        <w:t xml:space="preserve">Come noto la circolare della funzione pubblica 6/2014 ha chiarito che </w:t>
      </w:r>
      <w:r>
        <w:rPr>
          <w:rFonts w:ascii="Times New Roman" w:hAnsi="Times New Roman"/>
          <w:b w:val="false"/>
          <w:i/>
          <w:iCs/>
          <w:caps w:val="false"/>
          <w:smallCaps w:val="false"/>
          <w:strike w:val="false"/>
          <w:dstrike w:val="false"/>
          <w:color w:val="444444"/>
          <w:spacing w:val="0"/>
          <w:sz w:val="18"/>
          <w:szCs w:val="18"/>
          <w:u w:val="none"/>
        </w:rPr>
        <w:t xml:space="preserve">“Le modifiche introdotte sono volte a evitare che il conferimento di </w:t>
      </w:r>
      <w:r>
        <w:rPr>
          <w:rFonts w:ascii="Times New Roman" w:hAnsi="Times New Roman"/>
          <w:b w:val="false"/>
          <w:i/>
          <w:iCs/>
          <w:caps w:val="false"/>
          <w:smallCaps w:val="false"/>
          <w:color w:val="444444"/>
          <w:spacing w:val="0"/>
          <w:sz w:val="18"/>
          <w:szCs w:val="18"/>
        </w:rPr>
        <w:t>alcuni  tipi  di  incarico  sia  utilizzato   dalle   amministrazioni pubbliche per continuare ad  avvalersi  di  dipendenti  collocati  in quiescenza o, comunque,  per  attribuire  a  soggetti  in  quiescenza rilevanti responsabilita' nelle amministrazioni stesse, aggirando  di fatto lo  stesso  istituto  della  quiescenza.”</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200"/>
  <w:defaultTabStop w:val="709"/>
  <w:autoHyphenation w:val="true"/>
  <w:hyphenationZone w:val="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Songti SC" w:cs="Arial Unicode MS"/>
      <w:color w:val="auto"/>
      <w:kern w:val="2"/>
      <w:sz w:val="24"/>
      <w:szCs w:val="24"/>
      <w:lang w:val="it-IT" w:eastAsia="zh-CN" w:bidi="hi-IN"/>
    </w:rPr>
  </w:style>
  <w:style w:type="character" w:styleId="Bullets">
    <w:name w:val="Bullets"/>
    <w:qFormat/>
    <w:rPr>
      <w:rFonts w:ascii="OpenSymbol" w:hAnsi="OpenSymbol" w:eastAsia="OpenSymbol" w:cs="OpenSymbol"/>
    </w:rPr>
  </w:style>
  <w:style w:type="character" w:styleId="FootnoteCharacters">
    <w:name w:val="Footnote Characters"/>
    <w:qFormat/>
    <w:rPr>
      <w:vertAlign w:val="superscript"/>
    </w:rPr>
  </w:style>
  <w:style w:type="character" w:styleId="FootnoteCharactersuser">
    <w:name w:val="Footnote Characters (user)"/>
    <w:qFormat/>
    <w:rPr>
      <w:vertAlign w:val="superscript"/>
    </w:rPr>
  </w:style>
  <w:style w:type="character" w:styleId="FootnoteReference">
    <w:name w:val="footnote reference"/>
    <w:rPr>
      <w:vertAlign w:val="superscript"/>
    </w:rPr>
  </w:style>
  <w:style w:type="character" w:styleId="EndnoteCharactersuser">
    <w:name w:val="Endnote Characters (user)"/>
    <w:qFormat/>
    <w:rPr>
      <w:vertAlign w:val="superscript"/>
    </w:rPr>
  </w:style>
  <w:style w:type="character" w:styleId="EndnoteCharacters">
    <w:name w:val="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Default">
    <w:name w:val="Default"/>
    <w:qFormat/>
    <w:pPr>
      <w:widowControl/>
      <w:suppressAutoHyphens w:val="true"/>
      <w:overflowPunct w:val="false"/>
      <w:bidi w:val="0"/>
      <w:spacing w:before="0" w:after="0"/>
      <w:jc w:val="start"/>
    </w:pPr>
    <w:rPr>
      <w:rFonts w:ascii="Times New Roman" w:hAnsi="Times New Roman" w:eastAsia="Songti SC" w:cs="Arial Unicode MS"/>
      <w:color w:val="000000"/>
      <w:kern w:val="2"/>
      <w:sz w:val="24"/>
      <w:szCs w:val="24"/>
      <w:lang w:val="it-IT" w:eastAsia="zh-CN" w:bidi="hi-IN"/>
    </w:rPr>
  </w:style>
  <w:style w:type="paragraph" w:styleId="FootnoteText">
    <w:name w:val="footnote text"/>
    <w:basedOn w:val="Normal"/>
    <w:pPr>
      <w:suppressLineNumbers/>
      <w:ind w:hanging="340" w:start="340"/>
    </w:pPr>
    <w:rPr>
      <w:sz w:val="20"/>
      <w:szCs w:val="20"/>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795</TotalTime>
  <Application>LibreOffice/25.2.3.2$MacOSX_AARCH64 LibreOffice_project/bbb074479178df812d175f709636b368952c2ce3</Application>
  <AppVersion>15.0000</AppVersion>
  <Pages>3</Pages>
  <Words>1006</Words>
  <Characters>5729</Characters>
  <CharactersWithSpaces>6752</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2026-03-22T17:39:54Z</dcterms:created>
  <dc:creator>Stefano Masi</dc:creator>
  <dc:description/>
  <dc:language>it-IT</dc:language>
  <cp:lastModifiedBy>Stefano Masi</cp:lastModifiedBy>
  <dcterms:modified xsi:type="dcterms:W3CDTF">2026-07-20T15:24:40Z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